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center"/>
        <w:rPr>
          <w:rFonts w:ascii="Old Standard TT" w:cs="Old Standard TT" w:eastAsia="Old Standard TT" w:hAnsi="Old Standard TT"/>
          <w:b w:val="1"/>
          <w:u w:val="single"/>
        </w:rPr>
      </w:pPr>
      <w:bookmarkStart w:colFirst="0" w:colLast="0" w:name="_t6wmbnl7mfj6" w:id="0"/>
      <w:bookmarkEnd w:id="0"/>
      <w:r w:rsidDel="00000000" w:rsidR="00000000" w:rsidRPr="00000000">
        <w:rPr>
          <w:rFonts w:ascii="Old Standard TT" w:cs="Old Standard TT" w:eastAsia="Old Standard TT" w:hAnsi="Old Standard TT"/>
          <w:b w:val="1"/>
          <w:u w:val="single"/>
          <w:rtl w:val="0"/>
        </w:rPr>
        <w:t xml:space="preserve">APP - Graphes - Informatique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Contributeurs :</w:t>
      </w:r>
      <w:r w:rsidDel="00000000" w:rsidR="00000000" w:rsidRPr="00000000">
        <w:rPr>
          <w:sz w:val="24"/>
          <w:szCs w:val="24"/>
          <w:rtl w:val="0"/>
        </w:rPr>
        <w:t xml:space="preserve"> Ianis L’ÉCU / Elouan BULTYNCK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Recette :</w:t>
      </w:r>
      <w:r w:rsidDel="00000000" w:rsidR="00000000" w:rsidRPr="00000000">
        <w:rPr>
          <w:sz w:val="24"/>
          <w:szCs w:val="24"/>
          <w:rtl w:val="0"/>
        </w:rPr>
        <w:t xml:space="preserve"> Berliner Galette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Catégorie de l’étude proposée :</w:t>
      </w:r>
      <w:r w:rsidDel="00000000" w:rsidR="00000000" w:rsidRPr="00000000">
        <w:rPr>
          <w:sz w:val="24"/>
          <w:szCs w:val="24"/>
          <w:rtl w:val="0"/>
        </w:rPr>
        <w:t xml:space="preserve"> Esthétique et gourmandise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Avantages par rapport à cette catégorie :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4359600</wp:posOffset>
            </wp:positionH>
            <wp:positionV relativeFrom="paragraph">
              <wp:posOffset>190500</wp:posOffset>
            </wp:positionV>
            <wp:extent cx="1366838" cy="820103"/>
            <wp:effectExtent b="0" l="0" r="0" t="0"/>
            <wp:wrapSquare wrapText="bothSides" distB="114300" distT="114300" distL="114300" distR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6838" cy="82010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Nous nous sommes inspirés de la recette phare de kebab du restaurant </w:t>
      </w:r>
      <w:r w:rsidDel="00000000" w:rsidR="00000000" w:rsidRPr="00000000">
        <w:rPr>
          <w:rFonts w:ascii="Pacifico" w:cs="Pacifico" w:eastAsia="Pacifico" w:hAnsi="Pacifico"/>
          <w:sz w:val="24"/>
          <w:szCs w:val="24"/>
          <w:rtl w:val="0"/>
        </w:rPr>
        <w:t xml:space="preserve">Chëf Berliner Kebap</w:t>
      </w:r>
      <w:r w:rsidDel="00000000" w:rsidR="00000000" w:rsidRPr="00000000">
        <w:rPr>
          <w:sz w:val="24"/>
          <w:szCs w:val="24"/>
          <w:rtl w:val="0"/>
        </w:rPr>
        <w:t xml:space="preserve"> à Lyon, considéré par beaucoup comme un des meilleurs kebabs de Lyon, voire de France ! Nous avons souhaité transformer cette recette afin d’en constituer une recette de galette au sarrasin.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Nous avons intégré le plus d’éléments possibles de la recette originale à notre potager. La recette originale comportait en effet les éléments suivants : </w:t>
      </w:r>
      <w:r w:rsidDel="00000000" w:rsidR="00000000" w:rsidRPr="00000000">
        <w:rPr>
          <w:i w:val="1"/>
          <w:sz w:val="24"/>
          <w:szCs w:val="24"/>
          <w:rtl w:val="0"/>
        </w:rPr>
        <w:t xml:space="preserve">courgette, poivron, aubergine, carotte, choux rouge, salade, tomate, oignon, persil, thym</w:t>
      </w:r>
      <w:r w:rsidDel="00000000" w:rsidR="00000000" w:rsidRPr="00000000">
        <w:rPr>
          <w:sz w:val="24"/>
          <w:szCs w:val="24"/>
          <w:rtl w:val="0"/>
        </w:rPr>
        <w:t xml:space="preserve">. Notre recette comporte les éléments suivants : </w:t>
      </w:r>
      <w:r w:rsidDel="00000000" w:rsidR="00000000" w:rsidRPr="00000000">
        <w:rPr>
          <w:i w:val="1"/>
          <w:sz w:val="24"/>
          <w:szCs w:val="24"/>
          <w:rtl w:val="0"/>
        </w:rPr>
        <w:t xml:space="preserve">tomate, courgette, chou, oignon, carotte, laitue, ciboulette, thym, ail</w:t>
      </w:r>
      <w:r w:rsidDel="00000000" w:rsidR="00000000" w:rsidRPr="00000000">
        <w:rPr>
          <w:sz w:val="24"/>
          <w:szCs w:val="24"/>
          <w:rtl w:val="0"/>
        </w:rPr>
        <w:t xml:space="preserve"> soit une grande majorité des éléments de la recette originale.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Notre recette est donc bien gourmande, mais nous avons également bien pris en compte l’aspect esthétique de notre potager. En effet, nous avons intégré de nombreuses fleurs à notre jardin, à savoir l’ensemble des fleurs favorisées par les éléments de notre potager.</w:t>
      </w:r>
    </w:p>
    <w:p w:rsidR="00000000" w:rsidDel="00000000" w:rsidP="00000000" w:rsidRDefault="00000000" w:rsidRPr="00000000" w14:paraId="0000000D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Inconvénients par rapport à cette catégorie 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Il manque certains ingrédients de la recette originale, comme les </w:t>
      </w:r>
      <w:r w:rsidDel="00000000" w:rsidR="00000000" w:rsidRPr="00000000">
        <w:rPr>
          <w:i w:val="1"/>
          <w:sz w:val="24"/>
          <w:szCs w:val="24"/>
          <w:rtl w:val="0"/>
        </w:rPr>
        <w:t xml:space="preserve">poivrons</w:t>
      </w:r>
      <w:r w:rsidDel="00000000" w:rsidR="00000000" w:rsidRPr="00000000">
        <w:rPr>
          <w:sz w:val="24"/>
          <w:szCs w:val="24"/>
          <w:rtl w:val="0"/>
        </w:rPr>
        <w:t xml:space="preserve">, les </w:t>
      </w:r>
      <w:r w:rsidDel="00000000" w:rsidR="00000000" w:rsidRPr="00000000">
        <w:rPr>
          <w:i w:val="1"/>
          <w:sz w:val="24"/>
          <w:szCs w:val="24"/>
          <w:rtl w:val="0"/>
        </w:rPr>
        <w:t xml:space="preserve">aubergines</w:t>
      </w:r>
      <w:r w:rsidDel="00000000" w:rsidR="00000000" w:rsidRPr="00000000">
        <w:rPr>
          <w:sz w:val="24"/>
          <w:szCs w:val="24"/>
          <w:rtl w:val="0"/>
        </w:rPr>
        <w:t xml:space="preserve"> et le</w:t>
      </w:r>
      <w:r w:rsidDel="00000000" w:rsidR="00000000" w:rsidRPr="00000000">
        <w:rPr>
          <w:i w:val="1"/>
          <w:sz w:val="24"/>
          <w:szCs w:val="24"/>
          <w:rtl w:val="0"/>
        </w:rPr>
        <w:t xml:space="preserve"> persil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Certains ingrédients du cycle principal ne sont pas utilisés dans la recette, à savoir les </w:t>
      </w:r>
      <w:r w:rsidDel="00000000" w:rsidR="00000000" w:rsidRPr="00000000">
        <w:rPr>
          <w:i w:val="1"/>
          <w:sz w:val="24"/>
          <w:szCs w:val="24"/>
          <w:rtl w:val="0"/>
        </w:rPr>
        <w:t xml:space="preserve">haricots </w:t>
      </w:r>
      <w:r w:rsidDel="00000000" w:rsidR="00000000" w:rsidRPr="00000000">
        <w:rPr>
          <w:sz w:val="24"/>
          <w:szCs w:val="24"/>
          <w:rtl w:val="0"/>
        </w:rPr>
        <w:t xml:space="preserve">et le </w:t>
      </w:r>
      <w:r w:rsidDel="00000000" w:rsidR="00000000" w:rsidRPr="00000000">
        <w:rPr>
          <w:i w:val="1"/>
          <w:sz w:val="24"/>
          <w:szCs w:val="24"/>
          <w:rtl w:val="0"/>
        </w:rPr>
        <w:t xml:space="preserve">céleri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Précisions par rapport au graphe :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les ingrédients entourés d'un rectangle sont les ingrédients de notre recette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line="276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les arcs verts représentent le cycle de plante principal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line="276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les arcs roses connectent les fleurs de notre jardin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line="276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les arcs bleus connectent les ingrédients restants de notre recette</w:t>
      </w:r>
    </w:p>
    <w:p w:rsidR="00000000" w:rsidDel="00000000" w:rsidP="00000000" w:rsidRDefault="00000000" w:rsidRPr="00000000" w14:paraId="00000017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Graphe représentant le potager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-628649</wp:posOffset>
            </wp:positionH>
            <wp:positionV relativeFrom="paragraph">
              <wp:posOffset>638175</wp:posOffset>
            </wp:positionV>
            <wp:extent cx="7892969" cy="6986468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892969" cy="698646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 Ligh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leo Script">
    <w:embedRegular w:fontKey="{00000000-0000-0000-0000-000000000000}" r:id="rId5" w:subsetted="0"/>
    <w:embedBold w:fontKey="{00000000-0000-0000-0000-000000000000}" r:id="rId6" w:subsetted="0"/>
  </w:font>
  <w:font w:name="Pacifico">
    <w:embedRegular w:fontKey="{00000000-0000-0000-0000-000000000000}" r:id="rId7" w:subsetted="0"/>
  </w:font>
  <w:font w:name="Old Standard TT">
    <w:embedRegular w:fontKey="{00000000-0000-0000-0000-000000000000}" r:id="rId8" w:subsetted="0"/>
    <w:embedBold w:fontKey="{00000000-0000-0000-0000-000000000000}" r:id="rId9" w:subsetted="0"/>
    <w:embe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tabs>
        <w:tab w:val="left" w:pos="6225"/>
      </w:tabs>
      <w:rPr/>
    </w:pPr>
    <w:r w:rsidDel="00000000" w:rsidR="00000000" w:rsidRPr="00000000">
      <w:rPr>
        <w:rFonts w:ascii="Lato Light" w:cs="Lato Light" w:eastAsia="Lato Light" w:hAnsi="Lato Light"/>
        <w:color w:val="999999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Lato Light" w:cs="Lato Light" w:eastAsia="Lato Light" w:hAnsi="Lato Light"/>
        <w:color w:val="999999"/>
        <w:sz w:val="20"/>
        <w:szCs w:val="20"/>
        <w:rtl w:val="0"/>
      </w:rPr>
      <w:tab/>
      <w:t xml:space="preserve">Ianis L’ÉCU, Elouan BULTYNCK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rFonts w:ascii="Oleo Script" w:cs="Oleo Script" w:eastAsia="Oleo Script" w:hAnsi="Oleo Script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Light-regular.ttf"/><Relationship Id="rId2" Type="http://schemas.openxmlformats.org/officeDocument/2006/relationships/font" Target="fonts/LatoLight-bold.ttf"/><Relationship Id="rId3" Type="http://schemas.openxmlformats.org/officeDocument/2006/relationships/font" Target="fonts/LatoLight-italic.ttf"/><Relationship Id="rId4" Type="http://schemas.openxmlformats.org/officeDocument/2006/relationships/font" Target="fonts/LatoLight-boldItalic.ttf"/><Relationship Id="rId10" Type="http://schemas.openxmlformats.org/officeDocument/2006/relationships/font" Target="fonts/OldStandardTT-italic.ttf"/><Relationship Id="rId9" Type="http://schemas.openxmlformats.org/officeDocument/2006/relationships/font" Target="fonts/OldStandardTT-bold.ttf"/><Relationship Id="rId5" Type="http://schemas.openxmlformats.org/officeDocument/2006/relationships/font" Target="fonts/OleoScript-regular.ttf"/><Relationship Id="rId6" Type="http://schemas.openxmlformats.org/officeDocument/2006/relationships/font" Target="fonts/OleoScript-bold.ttf"/><Relationship Id="rId7" Type="http://schemas.openxmlformats.org/officeDocument/2006/relationships/font" Target="fonts/Pacifico-regular.ttf"/><Relationship Id="rId8" Type="http://schemas.openxmlformats.org/officeDocument/2006/relationships/font" Target="fonts/OldStandardTT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