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21" w:rsidRPr="009C1D21" w:rsidRDefault="009C1D21" w:rsidP="009C1D21">
      <w:pPr>
        <w:pBdr>
          <w:top w:val="single" w:sz="4" w:space="1" w:color="auto"/>
          <w:left w:val="single" w:sz="4" w:space="4" w:color="auto"/>
          <w:bottom w:val="single" w:sz="4" w:space="1" w:color="auto"/>
          <w:right w:val="single" w:sz="4" w:space="4" w:color="auto"/>
        </w:pBdr>
        <w:spacing w:before="19"/>
        <w:ind w:left="392"/>
        <w:jc w:val="center"/>
        <w:rPr>
          <w:rFonts w:ascii="Arial" w:hAnsi="Arial"/>
          <w:b/>
        </w:rPr>
      </w:pPr>
      <w:r w:rsidRPr="009C1D21">
        <w:rPr>
          <w:rFonts w:ascii="Arial" w:hAnsi="Arial"/>
          <w:b/>
        </w:rPr>
        <w:t>Anglais</w:t>
      </w:r>
      <w:r w:rsidRPr="009C1D21">
        <w:rPr>
          <w:rFonts w:ascii="Arial" w:hAnsi="Arial"/>
          <w:b/>
          <w:spacing w:val="-4"/>
        </w:rPr>
        <w:t xml:space="preserve"> </w:t>
      </w:r>
      <w:r w:rsidRPr="009C1D21">
        <w:rPr>
          <w:rFonts w:ascii="Arial" w:hAnsi="Arial"/>
          <w:b/>
        </w:rPr>
        <w:t>Monde</w:t>
      </w:r>
      <w:r w:rsidRPr="009C1D21">
        <w:rPr>
          <w:rFonts w:ascii="Arial" w:hAnsi="Arial"/>
          <w:b/>
          <w:spacing w:val="-4"/>
        </w:rPr>
        <w:t xml:space="preserve"> </w:t>
      </w:r>
      <w:r w:rsidRPr="009C1D21">
        <w:rPr>
          <w:rFonts w:ascii="Arial" w:hAnsi="Arial"/>
          <w:b/>
        </w:rPr>
        <w:t>Contemporain</w:t>
      </w:r>
      <w:r w:rsidRPr="009C1D21">
        <w:rPr>
          <w:rFonts w:ascii="Arial" w:hAnsi="Arial"/>
          <w:b/>
          <w:spacing w:val="4"/>
        </w:rPr>
        <w:t xml:space="preserve"> </w:t>
      </w:r>
      <w:r w:rsidRPr="009C1D21">
        <w:rPr>
          <w:rFonts w:ascii="Arial" w:hAnsi="Arial"/>
          <w:b/>
        </w:rPr>
        <w:t>–</w:t>
      </w:r>
      <w:r w:rsidRPr="009C1D21">
        <w:rPr>
          <w:rFonts w:ascii="Arial" w:hAnsi="Arial"/>
          <w:b/>
          <w:spacing w:val="-4"/>
        </w:rPr>
        <w:t xml:space="preserve"> </w:t>
      </w:r>
      <w:r w:rsidRPr="009C1D21">
        <w:rPr>
          <w:rFonts w:ascii="Arial" w:hAnsi="Arial"/>
          <w:b/>
        </w:rPr>
        <w:t>Eléments</w:t>
      </w:r>
      <w:r w:rsidRPr="009C1D21">
        <w:rPr>
          <w:rFonts w:ascii="Arial" w:hAnsi="Arial"/>
          <w:b/>
          <w:spacing w:val="-3"/>
        </w:rPr>
        <w:t xml:space="preserve"> </w:t>
      </w:r>
      <w:r w:rsidRPr="009C1D21">
        <w:rPr>
          <w:rFonts w:ascii="Arial" w:hAnsi="Arial"/>
          <w:b/>
        </w:rPr>
        <w:t>de</w:t>
      </w:r>
      <w:r w:rsidRPr="009C1D21">
        <w:rPr>
          <w:rFonts w:ascii="Arial" w:hAnsi="Arial"/>
          <w:b/>
          <w:spacing w:val="-4"/>
        </w:rPr>
        <w:t xml:space="preserve"> </w:t>
      </w:r>
      <w:r w:rsidRPr="009C1D21">
        <w:rPr>
          <w:rFonts w:ascii="Arial" w:hAnsi="Arial"/>
          <w:b/>
        </w:rPr>
        <w:t>méthodologie</w:t>
      </w:r>
      <w:r w:rsidRPr="009C1D21">
        <w:rPr>
          <w:rFonts w:ascii="Arial" w:hAnsi="Arial"/>
          <w:b/>
          <w:spacing w:val="-4"/>
        </w:rPr>
        <w:t xml:space="preserve"> </w:t>
      </w:r>
      <w:r w:rsidRPr="009C1D21">
        <w:rPr>
          <w:rFonts w:ascii="Arial" w:hAnsi="Arial"/>
          <w:b/>
        </w:rPr>
        <w:t>pour</w:t>
      </w:r>
      <w:r w:rsidRPr="009C1D21">
        <w:rPr>
          <w:rFonts w:ascii="Arial" w:hAnsi="Arial"/>
          <w:b/>
          <w:spacing w:val="-3"/>
        </w:rPr>
        <w:t xml:space="preserve"> </w:t>
      </w:r>
      <w:r w:rsidRPr="009C1D21">
        <w:rPr>
          <w:rFonts w:ascii="Arial" w:hAnsi="Arial"/>
          <w:b/>
        </w:rPr>
        <w:t>l’épreuve</w:t>
      </w:r>
      <w:r w:rsidRPr="009C1D21">
        <w:rPr>
          <w:rFonts w:ascii="Arial" w:hAnsi="Arial"/>
          <w:b/>
          <w:spacing w:val="-4"/>
        </w:rPr>
        <w:t xml:space="preserve"> </w:t>
      </w:r>
      <w:r w:rsidRPr="009C1D21">
        <w:rPr>
          <w:rFonts w:ascii="Arial" w:hAnsi="Arial"/>
          <w:b/>
        </w:rPr>
        <w:t>de</w:t>
      </w:r>
      <w:r w:rsidRPr="009C1D21">
        <w:rPr>
          <w:rFonts w:ascii="Arial" w:hAnsi="Arial"/>
          <w:b/>
          <w:spacing w:val="-4"/>
        </w:rPr>
        <w:t xml:space="preserve"> </w:t>
      </w:r>
      <w:r w:rsidRPr="009C1D21">
        <w:rPr>
          <w:rFonts w:ascii="Arial" w:hAnsi="Arial"/>
          <w:b/>
        </w:rPr>
        <w:t>transposition</w:t>
      </w:r>
    </w:p>
    <w:p w:rsidR="007624E2" w:rsidRDefault="007624E2"/>
    <w:p w:rsidR="009C1D21" w:rsidRPr="00F442ED" w:rsidRDefault="009C1D21" w:rsidP="009C1D21">
      <w:pPr>
        <w:jc w:val="center"/>
        <w:rPr>
          <w:sz w:val="20"/>
          <w:szCs w:val="20"/>
        </w:rPr>
      </w:pPr>
      <w:r w:rsidRPr="00F442ED">
        <w:rPr>
          <w:sz w:val="20"/>
          <w:szCs w:val="20"/>
        </w:rPr>
        <w:t>NB L’exercice est également appelé « compte-rendu en français ». Il s’agit en général</w:t>
      </w:r>
      <w:r w:rsidR="00714EC5" w:rsidRPr="00F442ED">
        <w:rPr>
          <w:rStyle w:val="Appelnotedebasdep"/>
          <w:sz w:val="20"/>
          <w:szCs w:val="20"/>
        </w:rPr>
        <w:footnoteReference w:id="2"/>
      </w:r>
      <w:r w:rsidRPr="00F442ED">
        <w:rPr>
          <w:sz w:val="20"/>
          <w:szCs w:val="20"/>
        </w:rPr>
        <w:t xml:space="preserve"> de produire un nombre de mots supérieur à 100 mots et inférieur à 140 mots, soit 120 mots +/- 10%.</w:t>
      </w:r>
    </w:p>
    <w:p w:rsidR="00714EC5" w:rsidRPr="00F442ED" w:rsidRDefault="00714EC5" w:rsidP="009C1D21">
      <w:pPr>
        <w:jc w:val="center"/>
        <w:rPr>
          <w:sz w:val="20"/>
          <w:szCs w:val="20"/>
        </w:rPr>
      </w:pPr>
    </w:p>
    <w:p w:rsidR="009C1D21" w:rsidRPr="00F442ED" w:rsidRDefault="009C1D21" w:rsidP="009C1D21">
      <w:pPr>
        <w:jc w:val="center"/>
        <w:rPr>
          <w:sz w:val="20"/>
          <w:szCs w:val="20"/>
        </w:rPr>
      </w:pPr>
    </w:p>
    <w:p w:rsidR="009C1D21" w:rsidRPr="00F442ED" w:rsidRDefault="009C1D21" w:rsidP="009C1D21">
      <w:pPr>
        <w:jc w:val="center"/>
        <w:rPr>
          <w:b/>
          <w:sz w:val="20"/>
          <w:szCs w:val="20"/>
        </w:rPr>
      </w:pPr>
      <w:r w:rsidRPr="00F442ED">
        <w:rPr>
          <w:b/>
          <w:sz w:val="20"/>
          <w:szCs w:val="20"/>
        </w:rPr>
        <w:t>Objectifs et barème</w:t>
      </w:r>
      <w:r w:rsidR="00714EC5" w:rsidRPr="00F442ED">
        <w:rPr>
          <w:b/>
          <w:sz w:val="20"/>
          <w:szCs w:val="20"/>
        </w:rPr>
        <w:t xml:space="preserve"> (source : Bulletin officiel spécial n°6 du 31-7-2020</w:t>
      </w:r>
      <w:r w:rsidR="00F442ED" w:rsidRPr="00F442ED">
        <w:rPr>
          <w:rStyle w:val="Appelnotedebasdep"/>
          <w:b/>
          <w:sz w:val="20"/>
          <w:szCs w:val="20"/>
        </w:rPr>
        <w:footnoteReference w:id="3"/>
      </w:r>
      <w:r w:rsidR="00714EC5" w:rsidRPr="00F442ED">
        <w:rPr>
          <w:b/>
          <w:sz w:val="20"/>
          <w:szCs w:val="20"/>
        </w:rPr>
        <w:t>)</w:t>
      </w:r>
    </w:p>
    <w:p w:rsidR="009C1D21" w:rsidRDefault="009C1D21"/>
    <w:p w:rsidR="009C1D21" w:rsidRDefault="009C1D21" w:rsidP="009C1D21">
      <w:pPr>
        <w:jc w:val="center"/>
      </w:pPr>
      <w:r>
        <w:rPr>
          <w:noProof/>
          <w:lang w:eastAsia="fr-FR"/>
        </w:rPr>
        <w:drawing>
          <wp:inline distT="0" distB="0" distL="0" distR="0">
            <wp:extent cx="4877595" cy="163039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7353" t="27338" r="42305" b="53930"/>
                    <a:stretch>
                      <a:fillRect/>
                    </a:stretch>
                  </pic:blipFill>
                  <pic:spPr bwMode="auto">
                    <a:xfrm>
                      <a:off x="0" y="0"/>
                      <a:ext cx="4882214" cy="1631936"/>
                    </a:xfrm>
                    <a:prstGeom prst="rect">
                      <a:avLst/>
                    </a:prstGeom>
                    <a:noFill/>
                    <a:ln w="9525">
                      <a:noFill/>
                      <a:miter lim="800000"/>
                      <a:headEnd/>
                      <a:tailEnd/>
                    </a:ln>
                  </pic:spPr>
                </pic:pic>
              </a:graphicData>
            </a:graphic>
          </wp:inline>
        </w:drawing>
      </w:r>
    </w:p>
    <w:p w:rsidR="009C1D21" w:rsidRDefault="009C1D21" w:rsidP="00714EC5">
      <w:pPr>
        <w:jc w:val="center"/>
      </w:pPr>
      <w:r w:rsidRPr="009C1D21">
        <w:rPr>
          <w:noProof/>
          <w:lang w:eastAsia="fr-FR"/>
        </w:rPr>
        <w:drawing>
          <wp:inline distT="0" distB="0" distL="0" distR="0">
            <wp:extent cx="4880754" cy="794811"/>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7353" t="64803" r="42305" b="26071"/>
                    <a:stretch>
                      <a:fillRect/>
                    </a:stretch>
                  </pic:blipFill>
                  <pic:spPr bwMode="auto">
                    <a:xfrm>
                      <a:off x="0" y="0"/>
                      <a:ext cx="4885639" cy="795607"/>
                    </a:xfrm>
                    <a:prstGeom prst="rect">
                      <a:avLst/>
                    </a:prstGeom>
                    <a:noFill/>
                    <a:ln w="9525">
                      <a:noFill/>
                      <a:miter lim="800000"/>
                      <a:headEnd/>
                      <a:tailEnd/>
                    </a:ln>
                  </pic:spPr>
                </pic:pic>
              </a:graphicData>
            </a:graphic>
          </wp:inline>
        </w:drawing>
      </w:r>
    </w:p>
    <w:p w:rsidR="00714EC5" w:rsidRPr="00F442ED" w:rsidRDefault="00714EC5" w:rsidP="00714EC5">
      <w:pPr>
        <w:jc w:val="center"/>
        <w:rPr>
          <w:sz w:val="20"/>
          <w:szCs w:val="20"/>
        </w:rPr>
      </w:pPr>
      <w:r w:rsidRPr="00F442ED">
        <w:rPr>
          <w:sz w:val="20"/>
          <w:szCs w:val="20"/>
        </w:rPr>
        <w:t>(</w:t>
      </w:r>
      <w:proofErr w:type="gramStart"/>
      <w:r w:rsidRPr="00F442ED">
        <w:rPr>
          <w:sz w:val="20"/>
          <w:szCs w:val="20"/>
        </w:rPr>
        <w:t>le</w:t>
      </w:r>
      <w:proofErr w:type="gramEnd"/>
      <w:r w:rsidRPr="00F442ED">
        <w:rPr>
          <w:sz w:val="20"/>
          <w:szCs w:val="20"/>
        </w:rPr>
        <w:t xml:space="preserve"> correcteur sélectionne d’abord un palier CECRL, puis une note sur celui-ci)</w:t>
      </w:r>
    </w:p>
    <w:p w:rsidR="00714EC5" w:rsidRPr="00F442ED" w:rsidRDefault="00714EC5" w:rsidP="00714EC5">
      <w:pPr>
        <w:jc w:val="center"/>
        <w:rPr>
          <w:b/>
          <w:sz w:val="20"/>
          <w:szCs w:val="20"/>
        </w:rPr>
      </w:pPr>
    </w:p>
    <w:p w:rsidR="00714EC5" w:rsidRPr="00F442ED" w:rsidRDefault="00714EC5" w:rsidP="00714EC5">
      <w:pPr>
        <w:jc w:val="center"/>
        <w:rPr>
          <w:b/>
          <w:sz w:val="20"/>
          <w:szCs w:val="20"/>
        </w:rPr>
      </w:pPr>
      <w:r w:rsidRPr="00F442ED">
        <w:rPr>
          <w:b/>
          <w:sz w:val="20"/>
          <w:szCs w:val="20"/>
        </w:rPr>
        <w:t>Mise en contexte dans l’épreuve finale</w:t>
      </w:r>
    </w:p>
    <w:p w:rsidR="00714EC5" w:rsidRPr="00F442ED" w:rsidRDefault="00714EC5" w:rsidP="00714EC5">
      <w:pPr>
        <w:jc w:val="center"/>
        <w:rPr>
          <w:b/>
          <w:sz w:val="20"/>
          <w:szCs w:val="20"/>
        </w:rPr>
      </w:pPr>
    </w:p>
    <w:p w:rsidR="009C1D21" w:rsidRPr="00F442ED" w:rsidRDefault="00714EC5" w:rsidP="00714EC5">
      <w:pPr>
        <w:jc w:val="both"/>
        <w:rPr>
          <w:sz w:val="20"/>
          <w:szCs w:val="20"/>
        </w:rPr>
      </w:pPr>
      <w:r w:rsidRPr="00F442ED">
        <w:rPr>
          <w:sz w:val="20"/>
          <w:szCs w:val="20"/>
        </w:rPr>
        <w:t>L’exercice compte pour quatre points dans la note finale de l’écrit au baccalauréat. A ce titre, il paraît peu judicieux d’y consacrer plus d’un cinquième du temps de l’épreuve de 3h30, soit plus de 45 minutes (grand maximum). Selon vos facilités et votre appétence pour le texte le jour J, 30 minutes peuvent suffire, à condition que votre niveau de français soit solide et que votre méthode (celle présentée ci-dessous ou une autre qui a fait ses preuves en entraînement au cours des deux ans d’AMC) soit efficace.</w:t>
      </w:r>
    </w:p>
    <w:p w:rsidR="009C1D21" w:rsidRPr="00F442ED" w:rsidRDefault="009C1D21">
      <w:pPr>
        <w:rPr>
          <w:sz w:val="20"/>
          <w:szCs w:val="20"/>
        </w:rPr>
      </w:pPr>
    </w:p>
    <w:p w:rsidR="009C1D21" w:rsidRPr="00F442ED" w:rsidRDefault="009C1D21" w:rsidP="009C1D21">
      <w:pPr>
        <w:jc w:val="center"/>
        <w:rPr>
          <w:b/>
          <w:sz w:val="20"/>
          <w:szCs w:val="20"/>
        </w:rPr>
      </w:pPr>
      <w:r w:rsidRPr="00F442ED">
        <w:rPr>
          <w:b/>
          <w:sz w:val="20"/>
          <w:szCs w:val="20"/>
        </w:rPr>
        <w:t>Proposition de méthode</w:t>
      </w:r>
    </w:p>
    <w:p w:rsidR="002E20C1" w:rsidRDefault="002E20C1" w:rsidP="00F442ED">
      <w:pPr>
        <w:jc w:val="both"/>
        <w:rPr>
          <w:sz w:val="20"/>
          <w:szCs w:val="20"/>
        </w:rPr>
      </w:pPr>
      <w:r w:rsidRPr="00F442ED">
        <w:rPr>
          <w:sz w:val="20"/>
          <w:szCs w:val="20"/>
        </w:rPr>
        <w:t>Evidences :</w:t>
      </w:r>
    </w:p>
    <w:p w:rsidR="00F442ED" w:rsidRPr="00F442ED" w:rsidRDefault="00F442ED" w:rsidP="00F442ED">
      <w:pPr>
        <w:jc w:val="both"/>
        <w:rPr>
          <w:sz w:val="20"/>
          <w:szCs w:val="20"/>
        </w:rPr>
      </w:pPr>
    </w:p>
    <w:p w:rsidR="002E20C1" w:rsidRDefault="002E20C1" w:rsidP="00F442ED">
      <w:pPr>
        <w:pStyle w:val="Paragraphedeliste"/>
        <w:numPr>
          <w:ilvl w:val="0"/>
          <w:numId w:val="2"/>
        </w:numPr>
        <w:jc w:val="both"/>
        <w:rPr>
          <w:sz w:val="20"/>
          <w:szCs w:val="20"/>
        </w:rPr>
      </w:pPr>
      <w:r w:rsidRPr="00F442ED">
        <w:rPr>
          <w:sz w:val="20"/>
          <w:szCs w:val="20"/>
        </w:rPr>
        <w:t>Il est impératif de travailler d’abord au brouillon.</w:t>
      </w:r>
    </w:p>
    <w:p w:rsidR="00F442ED" w:rsidRPr="00F442ED" w:rsidRDefault="00F442ED" w:rsidP="00F442ED">
      <w:pPr>
        <w:pStyle w:val="Paragraphedeliste"/>
        <w:jc w:val="both"/>
        <w:rPr>
          <w:sz w:val="20"/>
          <w:szCs w:val="20"/>
        </w:rPr>
      </w:pPr>
    </w:p>
    <w:p w:rsidR="002E20C1" w:rsidRPr="00F442ED" w:rsidRDefault="002E20C1" w:rsidP="00F442ED">
      <w:pPr>
        <w:pStyle w:val="Paragraphedeliste"/>
        <w:numPr>
          <w:ilvl w:val="0"/>
          <w:numId w:val="2"/>
        </w:numPr>
        <w:jc w:val="both"/>
        <w:rPr>
          <w:sz w:val="20"/>
          <w:szCs w:val="20"/>
        </w:rPr>
      </w:pPr>
      <w:r w:rsidRPr="00F442ED">
        <w:rPr>
          <w:sz w:val="20"/>
          <w:szCs w:val="20"/>
        </w:rPr>
        <w:t>Comptez les phases d’ajustement au nombre de mots demandé, de mise au propre, de relecture et d’écriture du nombre de mots définitif dans le temps que vous consacrez à l’exercice.</w:t>
      </w:r>
    </w:p>
    <w:p w:rsidR="002E20C1" w:rsidRPr="00F442ED" w:rsidRDefault="002E20C1" w:rsidP="00F442ED">
      <w:pPr>
        <w:jc w:val="both"/>
        <w:rPr>
          <w:sz w:val="20"/>
          <w:szCs w:val="20"/>
        </w:rPr>
      </w:pPr>
    </w:p>
    <w:p w:rsidR="002E20C1" w:rsidRDefault="002E20C1" w:rsidP="00F442ED">
      <w:pPr>
        <w:pStyle w:val="Paragraphedeliste"/>
        <w:numPr>
          <w:ilvl w:val="0"/>
          <w:numId w:val="1"/>
        </w:numPr>
        <w:jc w:val="both"/>
        <w:rPr>
          <w:sz w:val="20"/>
          <w:szCs w:val="20"/>
        </w:rPr>
      </w:pPr>
      <w:r w:rsidRPr="00F442ED">
        <w:rPr>
          <w:sz w:val="20"/>
          <w:szCs w:val="20"/>
        </w:rPr>
        <w:t>Lire le texte deux à trois fois et mettre en valeur le thème général et les idées principales (à distinguer de ce qui relève du détail), sous forme de prise de notes en français ;</w:t>
      </w:r>
    </w:p>
    <w:p w:rsidR="00F442ED" w:rsidRPr="00F442ED" w:rsidRDefault="00F442ED" w:rsidP="00F442ED">
      <w:pPr>
        <w:pStyle w:val="Paragraphedeliste"/>
        <w:jc w:val="both"/>
        <w:rPr>
          <w:sz w:val="20"/>
          <w:szCs w:val="20"/>
        </w:rPr>
      </w:pPr>
    </w:p>
    <w:p w:rsidR="002E20C1" w:rsidRDefault="002E20C1" w:rsidP="00F442ED">
      <w:pPr>
        <w:pStyle w:val="Paragraphedeliste"/>
        <w:numPr>
          <w:ilvl w:val="0"/>
          <w:numId w:val="1"/>
        </w:numPr>
        <w:jc w:val="both"/>
        <w:rPr>
          <w:sz w:val="20"/>
          <w:szCs w:val="20"/>
        </w:rPr>
      </w:pPr>
      <w:r w:rsidRPr="00F442ED">
        <w:rPr>
          <w:sz w:val="20"/>
          <w:szCs w:val="20"/>
        </w:rPr>
        <w:t>Lire à nouveau et repérer l’enchaînement des idées (encadrer les mots de liaison et autres expressions de ce type) ;</w:t>
      </w:r>
    </w:p>
    <w:p w:rsidR="000515B4" w:rsidRPr="000515B4" w:rsidRDefault="000515B4" w:rsidP="000515B4">
      <w:pPr>
        <w:pStyle w:val="Paragraphedeliste"/>
        <w:rPr>
          <w:sz w:val="20"/>
          <w:szCs w:val="20"/>
        </w:rPr>
      </w:pPr>
    </w:p>
    <w:p w:rsidR="000515B4" w:rsidRPr="000515B4" w:rsidRDefault="000515B4" w:rsidP="000515B4">
      <w:pPr>
        <w:pStyle w:val="Paragraphedeliste"/>
        <w:jc w:val="center"/>
        <w:rPr>
          <w:i/>
          <w:sz w:val="20"/>
          <w:szCs w:val="20"/>
        </w:rPr>
      </w:pPr>
      <w:r w:rsidRPr="000515B4">
        <w:rPr>
          <w:i/>
          <w:sz w:val="20"/>
          <w:szCs w:val="20"/>
        </w:rPr>
        <w:t>Le nombre de lectures peut bien entendu être réduit si vous avez commencé par la synthèse</w:t>
      </w:r>
      <w:r>
        <w:rPr>
          <w:i/>
          <w:sz w:val="20"/>
          <w:szCs w:val="20"/>
        </w:rPr>
        <w:t xml:space="preserve"> et connaissez maintenant bien le document</w:t>
      </w:r>
      <w:r w:rsidRPr="000515B4">
        <w:rPr>
          <w:i/>
          <w:sz w:val="20"/>
          <w:szCs w:val="20"/>
        </w:rPr>
        <w:t>.</w:t>
      </w:r>
    </w:p>
    <w:p w:rsidR="00F442ED" w:rsidRPr="00F442ED" w:rsidRDefault="00F442ED" w:rsidP="00F442ED">
      <w:pPr>
        <w:jc w:val="both"/>
        <w:rPr>
          <w:sz w:val="20"/>
          <w:szCs w:val="20"/>
        </w:rPr>
      </w:pPr>
    </w:p>
    <w:p w:rsidR="002E20C1" w:rsidRDefault="002E20C1" w:rsidP="00F442ED">
      <w:pPr>
        <w:pStyle w:val="Paragraphedeliste"/>
        <w:numPr>
          <w:ilvl w:val="0"/>
          <w:numId w:val="1"/>
        </w:numPr>
        <w:jc w:val="both"/>
        <w:rPr>
          <w:sz w:val="20"/>
          <w:szCs w:val="20"/>
        </w:rPr>
      </w:pPr>
      <w:r w:rsidRPr="00F442ED">
        <w:rPr>
          <w:sz w:val="20"/>
          <w:szCs w:val="20"/>
        </w:rPr>
        <w:t xml:space="preserve">Lire une dernière fois et prenez des notes en français pour constituer la trame du futur résumé. NB Certains textes se prêtent bien à une construction « paragraphe par paragraphe ». D’autres commencent par les idées principales pour finir par des détails. Parfois, cette organisation est inversée. Il convient donc </w:t>
      </w:r>
      <w:r w:rsidR="00240B95">
        <w:rPr>
          <w:sz w:val="20"/>
          <w:szCs w:val="20"/>
        </w:rPr>
        <w:t xml:space="preserve">d’avoir </w:t>
      </w:r>
      <w:r w:rsidRPr="00F442ED">
        <w:rPr>
          <w:sz w:val="20"/>
          <w:szCs w:val="20"/>
        </w:rPr>
        <w:t>d’abord une compréhension globale du tex</w:t>
      </w:r>
      <w:r w:rsidR="00F442ED" w:rsidRPr="00F442ED">
        <w:rPr>
          <w:sz w:val="20"/>
          <w:szCs w:val="20"/>
        </w:rPr>
        <w:t>te avant de commencer à rédiger ;</w:t>
      </w:r>
    </w:p>
    <w:p w:rsidR="00F442ED" w:rsidRPr="00F442ED" w:rsidRDefault="00F442ED" w:rsidP="00F442ED">
      <w:pPr>
        <w:pStyle w:val="Paragraphedeliste"/>
        <w:jc w:val="both"/>
        <w:rPr>
          <w:sz w:val="20"/>
          <w:szCs w:val="20"/>
        </w:rPr>
      </w:pPr>
    </w:p>
    <w:p w:rsidR="002E20C1" w:rsidRDefault="002E20C1" w:rsidP="00F442ED">
      <w:pPr>
        <w:pStyle w:val="Paragraphedeliste"/>
        <w:numPr>
          <w:ilvl w:val="0"/>
          <w:numId w:val="1"/>
        </w:numPr>
        <w:jc w:val="both"/>
        <w:rPr>
          <w:sz w:val="20"/>
          <w:szCs w:val="20"/>
        </w:rPr>
      </w:pPr>
      <w:r w:rsidRPr="00F442ED">
        <w:rPr>
          <w:sz w:val="20"/>
          <w:szCs w:val="20"/>
        </w:rPr>
        <w:t>Comptez les mots puis ajustez au nombre demandé. C’est votre maîtrise du français, votre capacité à trouver des formulations différentes, qui sont alors à l’œuvre</w:t>
      </w:r>
      <w:r w:rsidR="00F442ED" w:rsidRPr="00F442ED">
        <w:rPr>
          <w:sz w:val="20"/>
          <w:szCs w:val="20"/>
        </w:rPr>
        <w:t> :</w:t>
      </w:r>
      <w:r w:rsidRPr="00F442ED">
        <w:rPr>
          <w:sz w:val="20"/>
          <w:szCs w:val="20"/>
        </w:rPr>
        <w:t xml:space="preserve"> </w:t>
      </w:r>
    </w:p>
    <w:p w:rsidR="00F442ED" w:rsidRPr="00F442ED" w:rsidRDefault="00F442ED" w:rsidP="00F442ED">
      <w:pPr>
        <w:pStyle w:val="Paragraphedeliste"/>
        <w:rPr>
          <w:sz w:val="20"/>
          <w:szCs w:val="20"/>
        </w:rPr>
      </w:pPr>
    </w:p>
    <w:p w:rsidR="00F442ED" w:rsidRPr="00F442ED" w:rsidRDefault="00F442ED" w:rsidP="00F442ED">
      <w:pPr>
        <w:pStyle w:val="Paragraphedeliste"/>
        <w:jc w:val="both"/>
        <w:rPr>
          <w:sz w:val="20"/>
          <w:szCs w:val="20"/>
        </w:rPr>
      </w:pPr>
    </w:p>
    <w:p w:rsidR="002E20C1" w:rsidRPr="00F442ED" w:rsidRDefault="002E20C1" w:rsidP="00F442ED">
      <w:pPr>
        <w:pStyle w:val="Paragraphedeliste"/>
        <w:numPr>
          <w:ilvl w:val="0"/>
          <w:numId w:val="1"/>
        </w:numPr>
        <w:jc w:val="both"/>
        <w:rPr>
          <w:sz w:val="20"/>
          <w:szCs w:val="20"/>
        </w:rPr>
      </w:pPr>
      <w:r w:rsidRPr="00F442ED">
        <w:rPr>
          <w:sz w:val="20"/>
          <w:szCs w:val="20"/>
        </w:rPr>
        <w:t>Mettre au propre, relire, recompter les mots et inscrire le nombre définitif de mots sur la copie.</w:t>
      </w:r>
    </w:p>
    <w:p w:rsidR="009C1D21" w:rsidRPr="009C1D21" w:rsidRDefault="009C1D21" w:rsidP="009C1D21">
      <w:pPr>
        <w:jc w:val="center"/>
        <w:rPr>
          <w:b/>
        </w:rPr>
      </w:pPr>
    </w:p>
    <w:sectPr w:rsidR="009C1D21" w:rsidRPr="009C1D21" w:rsidSect="009C1D2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EC5" w:rsidRDefault="00714EC5" w:rsidP="00714EC5">
      <w:r>
        <w:separator/>
      </w:r>
    </w:p>
  </w:endnote>
  <w:endnote w:type="continuationSeparator" w:id="1">
    <w:p w:rsidR="00714EC5" w:rsidRDefault="00714EC5" w:rsidP="00714E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EC5" w:rsidRDefault="00714EC5" w:rsidP="00714EC5">
      <w:r>
        <w:separator/>
      </w:r>
    </w:p>
  </w:footnote>
  <w:footnote w:type="continuationSeparator" w:id="1">
    <w:p w:rsidR="00714EC5" w:rsidRDefault="00714EC5" w:rsidP="00714EC5">
      <w:r>
        <w:continuationSeparator/>
      </w:r>
    </w:p>
  </w:footnote>
  <w:footnote w:id="2">
    <w:p w:rsidR="00714EC5" w:rsidRDefault="00714EC5">
      <w:pPr>
        <w:pStyle w:val="Notedebasdepage"/>
      </w:pPr>
      <w:r>
        <w:rPr>
          <w:rStyle w:val="Appelnotedebasdep"/>
        </w:rPr>
        <w:footnoteRef/>
      </w:r>
      <w:r>
        <w:t xml:space="preserve"> C’est une moyenne. Le jour du baccalauréat, c’est le nombre de mots indiqué sur le sujet qui fait loi.</w:t>
      </w:r>
    </w:p>
  </w:footnote>
  <w:footnote w:id="3">
    <w:p w:rsidR="00F442ED" w:rsidRDefault="00F442ED">
      <w:pPr>
        <w:pStyle w:val="Notedebasdepage"/>
      </w:pPr>
      <w:r>
        <w:rPr>
          <w:rStyle w:val="Appelnotedebasdep"/>
        </w:rPr>
        <w:footnoteRef/>
      </w:r>
      <w:r>
        <w:t xml:space="preserve"> </w:t>
      </w:r>
      <w:hyperlink r:id="rId1" w:history="1">
        <w:r w:rsidRPr="00F442ED">
          <w:rPr>
            <w:rStyle w:val="Lienhypertexte"/>
            <w:color w:val="000000" w:themeColor="text1"/>
            <w:u w:val="none"/>
          </w:rPr>
          <w:t>https://www.education.gouv.fr/pid285/bulletin_officiel.html?pid_bo=39770</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0543C"/>
    <w:multiLevelType w:val="hybridMultilevel"/>
    <w:tmpl w:val="8CFC4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4B5E3E"/>
    <w:multiLevelType w:val="hybridMultilevel"/>
    <w:tmpl w:val="A1AA9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C1D21"/>
    <w:rsid w:val="000515B4"/>
    <w:rsid w:val="00240B95"/>
    <w:rsid w:val="002E20C1"/>
    <w:rsid w:val="00714EC5"/>
    <w:rsid w:val="007624E2"/>
    <w:rsid w:val="009C1D21"/>
    <w:rsid w:val="00D520FD"/>
    <w:rsid w:val="00F442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1D21"/>
    <w:pPr>
      <w:widowControl w:val="0"/>
      <w:autoSpaceDE w:val="0"/>
      <w:autoSpaceDN w:val="0"/>
      <w:spacing w:after="0" w:line="240" w:lineRule="auto"/>
    </w:pPr>
    <w:rPr>
      <w:rFonts w:ascii="Arial MT" w:eastAsia="Arial MT" w:hAnsi="Arial MT" w:cs="Arial M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1D21"/>
    <w:rPr>
      <w:rFonts w:ascii="Tahoma" w:hAnsi="Tahoma" w:cs="Tahoma"/>
      <w:sz w:val="16"/>
      <w:szCs w:val="16"/>
    </w:rPr>
  </w:style>
  <w:style w:type="character" w:customStyle="1" w:styleId="TextedebullesCar">
    <w:name w:val="Texte de bulles Car"/>
    <w:basedOn w:val="Policepardfaut"/>
    <w:link w:val="Textedebulles"/>
    <w:uiPriority w:val="99"/>
    <w:semiHidden/>
    <w:rsid w:val="009C1D21"/>
    <w:rPr>
      <w:rFonts w:ascii="Tahoma" w:eastAsia="Arial MT" w:hAnsi="Tahoma" w:cs="Tahoma"/>
      <w:sz w:val="16"/>
      <w:szCs w:val="16"/>
    </w:rPr>
  </w:style>
  <w:style w:type="paragraph" w:styleId="Notedebasdepage">
    <w:name w:val="footnote text"/>
    <w:basedOn w:val="Normal"/>
    <w:link w:val="NotedebasdepageCar"/>
    <w:uiPriority w:val="99"/>
    <w:semiHidden/>
    <w:unhideWhenUsed/>
    <w:rsid w:val="00714EC5"/>
    <w:rPr>
      <w:sz w:val="20"/>
      <w:szCs w:val="20"/>
    </w:rPr>
  </w:style>
  <w:style w:type="character" w:customStyle="1" w:styleId="NotedebasdepageCar">
    <w:name w:val="Note de bas de page Car"/>
    <w:basedOn w:val="Policepardfaut"/>
    <w:link w:val="Notedebasdepage"/>
    <w:uiPriority w:val="99"/>
    <w:semiHidden/>
    <w:rsid w:val="00714EC5"/>
    <w:rPr>
      <w:rFonts w:ascii="Arial MT" w:eastAsia="Arial MT" w:hAnsi="Arial MT" w:cs="Arial MT"/>
      <w:sz w:val="20"/>
      <w:szCs w:val="20"/>
    </w:rPr>
  </w:style>
  <w:style w:type="character" w:styleId="Appelnotedebasdep">
    <w:name w:val="footnote reference"/>
    <w:basedOn w:val="Policepardfaut"/>
    <w:uiPriority w:val="99"/>
    <w:semiHidden/>
    <w:unhideWhenUsed/>
    <w:rsid w:val="00714EC5"/>
    <w:rPr>
      <w:vertAlign w:val="superscript"/>
    </w:rPr>
  </w:style>
  <w:style w:type="paragraph" w:styleId="Paragraphedeliste">
    <w:name w:val="List Paragraph"/>
    <w:basedOn w:val="Normal"/>
    <w:uiPriority w:val="34"/>
    <w:qFormat/>
    <w:rsid w:val="002E20C1"/>
    <w:pPr>
      <w:ind w:left="720"/>
      <w:contextualSpacing/>
    </w:pPr>
  </w:style>
  <w:style w:type="character" w:styleId="Lienhypertexte">
    <w:name w:val="Hyperlink"/>
    <w:basedOn w:val="Policepardfaut"/>
    <w:uiPriority w:val="99"/>
    <w:unhideWhenUsed/>
    <w:rsid w:val="00F442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uv.fr/pid285/bulletin_officiel.html?pid_bo=397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8176-CC76-4F28-9512-3E74C9CF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363</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Proprietaire</cp:lastModifiedBy>
  <cp:revision>5</cp:revision>
  <cp:lastPrinted>2022-01-27T20:35:00Z</cp:lastPrinted>
  <dcterms:created xsi:type="dcterms:W3CDTF">2022-01-27T19:51:00Z</dcterms:created>
  <dcterms:modified xsi:type="dcterms:W3CDTF">2022-01-27T22:37:00Z</dcterms:modified>
</cp:coreProperties>
</file>