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3EEA7" w14:textId="77777777" w:rsidR="00FB5BA6" w:rsidRDefault="00FB5BA6" w:rsidP="00FB5BA6">
      <w:pPr>
        <w:numPr>
          <w:ilvl w:val="0"/>
          <w:numId w:val="8"/>
        </w:numPr>
        <w:tabs>
          <w:tab w:val="left" w:pos="1741"/>
        </w:tabs>
        <w:spacing w:line="235" w:lineRule="auto"/>
        <w:ind w:left="2620" w:right="1446" w:hanging="1182"/>
        <w:rPr>
          <w:rFonts w:eastAsia="Times New Roman"/>
          <w:b/>
          <w:bCs/>
          <w:sz w:val="30"/>
          <w:szCs w:val="30"/>
        </w:rPr>
      </w:pPr>
      <w:bookmarkStart w:id="0" w:name="_GoBack"/>
      <w:bookmarkEnd w:id="0"/>
      <w:r>
        <w:rPr>
          <w:rFonts w:eastAsia="Times New Roman"/>
          <w:b/>
          <w:bCs/>
          <w:sz w:val="30"/>
          <w:szCs w:val="30"/>
        </w:rPr>
        <w:t>- Un dispositif coûteux pour le consommateur mais avantageux pour Enedis</w:t>
      </w:r>
    </w:p>
    <w:p w14:paraId="4767305E" w14:textId="77777777" w:rsidR="00FB5BA6" w:rsidRDefault="00FB5BA6" w:rsidP="00FB5BA6">
      <w:pPr>
        <w:spacing w:line="239" w:lineRule="exact"/>
        <w:rPr>
          <w:sz w:val="20"/>
          <w:szCs w:val="20"/>
        </w:rPr>
      </w:pPr>
    </w:p>
    <w:p w14:paraId="03D2E89A" w14:textId="762A1F54" w:rsidR="00FB5BA6" w:rsidRDefault="00FB5BA6" w:rsidP="00F37B24">
      <w:pPr>
        <w:ind w:right="6"/>
        <w:jc w:val="center"/>
        <w:rPr>
          <w:sz w:val="20"/>
          <w:szCs w:val="20"/>
        </w:rPr>
      </w:pPr>
      <w:r>
        <w:rPr>
          <w:rFonts w:eastAsia="Times New Roman"/>
          <w:b/>
          <w:bCs/>
          <w:sz w:val="26"/>
          <w:szCs w:val="26"/>
        </w:rPr>
        <w:t>A - Un coût effectif total de 5,7 Md€</w:t>
      </w:r>
      <w:r w:rsidR="00F37B24">
        <w:rPr>
          <w:rFonts w:eastAsia="Times New Roman"/>
          <w:b/>
          <w:bCs/>
          <w:sz w:val="26"/>
          <w:szCs w:val="26"/>
        </w:rPr>
        <w:t xml:space="preserve"> </w:t>
      </w:r>
    </w:p>
    <w:p w14:paraId="4D3204EE" w14:textId="77777777" w:rsidR="00FB5BA6" w:rsidRDefault="00FB5BA6" w:rsidP="00FB5BA6">
      <w:pPr>
        <w:ind w:right="-13"/>
        <w:jc w:val="center"/>
        <w:rPr>
          <w:sz w:val="20"/>
          <w:szCs w:val="20"/>
        </w:rPr>
      </w:pPr>
      <w:proofErr w:type="gramStart"/>
      <w:r>
        <w:rPr>
          <w:rFonts w:eastAsia="Times New Roman"/>
          <w:b/>
          <w:bCs/>
          <w:sz w:val="26"/>
          <w:szCs w:val="26"/>
        </w:rPr>
        <w:t>en</w:t>
      </w:r>
      <w:proofErr w:type="gramEnd"/>
      <w:r>
        <w:rPr>
          <w:rFonts w:eastAsia="Times New Roman"/>
          <w:b/>
          <w:bCs/>
          <w:sz w:val="26"/>
          <w:szCs w:val="26"/>
        </w:rPr>
        <w:t xml:space="preserve"> euros courants</w:t>
      </w:r>
    </w:p>
    <w:p w14:paraId="12F40604" w14:textId="77777777" w:rsidR="00FB5BA6" w:rsidRDefault="00FB5BA6" w:rsidP="00FB5BA6">
      <w:pPr>
        <w:spacing w:line="244" w:lineRule="exact"/>
        <w:rPr>
          <w:sz w:val="20"/>
          <w:szCs w:val="20"/>
        </w:rPr>
      </w:pPr>
    </w:p>
    <w:p w14:paraId="36977BFB" w14:textId="77777777" w:rsidR="00FB5BA6" w:rsidRDefault="00FB5BA6" w:rsidP="00FB5BA6">
      <w:pPr>
        <w:spacing w:line="237" w:lineRule="auto"/>
        <w:ind w:left="1400" w:right="1386" w:firstLine="566"/>
        <w:jc w:val="both"/>
        <w:rPr>
          <w:sz w:val="20"/>
          <w:szCs w:val="20"/>
        </w:rPr>
      </w:pPr>
      <w:r>
        <w:rPr>
          <w:rFonts w:eastAsia="Times New Roman"/>
          <w:sz w:val="21"/>
          <w:szCs w:val="21"/>
        </w:rPr>
        <w:t>Le coût du nouveau dispositif est constitué du coût du programme Linky mis en œuvre par Enedis et de celui des programmes des autres distributeurs (ELD).</w:t>
      </w:r>
    </w:p>
    <w:p w14:paraId="6C7C0C52" w14:textId="77777777" w:rsidR="00FB5BA6" w:rsidRDefault="00FB5BA6" w:rsidP="00FB5BA6">
      <w:pPr>
        <w:spacing w:line="125" w:lineRule="exact"/>
        <w:rPr>
          <w:sz w:val="20"/>
          <w:szCs w:val="20"/>
        </w:rPr>
      </w:pPr>
    </w:p>
    <w:p w14:paraId="6DF19235" w14:textId="77777777" w:rsidR="00FB5BA6" w:rsidRDefault="00FB5BA6" w:rsidP="00FB5BA6">
      <w:pPr>
        <w:spacing w:line="226" w:lineRule="auto"/>
        <w:ind w:left="1400" w:right="1386" w:firstLine="566"/>
        <w:jc w:val="both"/>
        <w:rPr>
          <w:sz w:val="20"/>
          <w:szCs w:val="20"/>
        </w:rPr>
      </w:pPr>
      <w:r>
        <w:rPr>
          <w:rFonts w:eastAsia="Times New Roman"/>
          <w:sz w:val="21"/>
          <w:szCs w:val="21"/>
        </w:rPr>
        <w:t>S’agissant d’Enedis, le coût (5,39 Md€</w:t>
      </w:r>
      <w:r>
        <w:rPr>
          <w:rFonts w:eastAsia="Times New Roman"/>
          <w:sz w:val="27"/>
          <w:szCs w:val="27"/>
          <w:vertAlign w:val="superscript"/>
        </w:rPr>
        <w:t>224</w:t>
      </w:r>
      <w:r>
        <w:rPr>
          <w:rFonts w:eastAsia="Times New Roman"/>
          <w:sz w:val="21"/>
          <w:szCs w:val="21"/>
        </w:rPr>
        <w:t>) comprend celui de la phase d’expérimentation (0,15 Md€), celui de la phase de « déploiement massif » pour la période 2014-2021 (4,70 Md€) permettant d’atteindre un taux d’équipement de 90 % et enfin celui correspondant au passage, de 2022 à 2024, à un taux de 100 % (0,54 Md€).</w:t>
      </w:r>
    </w:p>
    <w:p w14:paraId="6782F529" w14:textId="77777777" w:rsidR="00FB5BA6" w:rsidRDefault="00FB5BA6" w:rsidP="00FB5BA6">
      <w:pPr>
        <w:spacing w:line="120" w:lineRule="exact"/>
        <w:rPr>
          <w:sz w:val="20"/>
          <w:szCs w:val="20"/>
        </w:rPr>
      </w:pPr>
    </w:p>
    <w:p w14:paraId="2604141E" w14:textId="77777777" w:rsidR="00FB5BA6" w:rsidRPr="00F37B24" w:rsidRDefault="00FB5BA6" w:rsidP="00FB5BA6">
      <w:pPr>
        <w:ind w:left="1960"/>
        <w:rPr>
          <w:b/>
          <w:bCs/>
          <w:sz w:val="20"/>
          <w:szCs w:val="20"/>
        </w:rPr>
      </w:pPr>
      <w:r w:rsidRPr="00F37B24">
        <w:rPr>
          <w:rFonts w:eastAsia="Times New Roman"/>
          <w:b/>
          <w:bCs/>
          <w:sz w:val="21"/>
          <w:szCs w:val="21"/>
        </w:rPr>
        <w:t>Le coût, ramené au compteur, est de 130 €.</w:t>
      </w:r>
    </w:p>
    <w:p w14:paraId="05847DCC" w14:textId="77777777" w:rsidR="00FB5BA6" w:rsidRDefault="00FB5BA6" w:rsidP="00FB5BA6">
      <w:pPr>
        <w:spacing w:line="131" w:lineRule="exact"/>
        <w:rPr>
          <w:sz w:val="20"/>
          <w:szCs w:val="20"/>
        </w:rPr>
      </w:pPr>
    </w:p>
    <w:p w14:paraId="46DAA5BE" w14:textId="77777777" w:rsidR="00FB5BA6" w:rsidRDefault="00FB5BA6" w:rsidP="00FB5BA6">
      <w:pPr>
        <w:spacing w:line="238" w:lineRule="auto"/>
        <w:ind w:left="1400" w:right="1386" w:firstLine="566"/>
        <w:jc w:val="both"/>
        <w:rPr>
          <w:sz w:val="20"/>
          <w:szCs w:val="20"/>
        </w:rPr>
      </w:pPr>
      <w:r>
        <w:rPr>
          <w:rFonts w:eastAsia="Times New Roman"/>
          <w:sz w:val="21"/>
          <w:szCs w:val="21"/>
        </w:rPr>
        <w:t>La fourniture du compteur proprement dit représente un tiers de ce coût, sa pose un autre tiers, le dernier tiers correspondant aux autres éléments du dispositif. Ceux-ci comprennent les systèmes d’information nécessaires au fonctionnement de l’ensemble et les 700 000 concentrateurs installés pour recevoir les informations des compteurs qui leur sont reliés (notamment les index télé-relevés) et les retransmettre vers le système central et, en sens inverse, retransmettre vers les compteurs les instructions reçues du système central, notamment les ordres relatifs à la gestion des compteurs à distance.</w:t>
      </w:r>
    </w:p>
    <w:p w14:paraId="4D15516D" w14:textId="77777777" w:rsidR="00FB5BA6" w:rsidRDefault="00FB5BA6" w:rsidP="00FB5BA6">
      <w:pPr>
        <w:spacing w:line="137" w:lineRule="exact"/>
        <w:rPr>
          <w:sz w:val="20"/>
          <w:szCs w:val="20"/>
        </w:rPr>
      </w:pPr>
    </w:p>
    <w:p w14:paraId="45E18F8D" w14:textId="77777777" w:rsidR="00FB5BA6" w:rsidRDefault="00FB5BA6" w:rsidP="00FB5BA6">
      <w:pPr>
        <w:spacing w:line="238" w:lineRule="auto"/>
        <w:ind w:left="1400" w:right="1386" w:firstLine="566"/>
        <w:jc w:val="both"/>
        <w:rPr>
          <w:sz w:val="20"/>
          <w:szCs w:val="20"/>
        </w:rPr>
      </w:pPr>
      <w:r>
        <w:rPr>
          <w:rFonts w:eastAsia="Times New Roman"/>
          <w:sz w:val="21"/>
          <w:szCs w:val="21"/>
        </w:rPr>
        <w:t>Les coûts de pose des compteurs ont été optimisés, mais cette optimisation a été faite au détriment de la communication avec les usagers : en effet l’installateur n’a que peu de temps pour expliquer le fonctionnement du compteur puisque le temps total de pose est en moyenne de 30 minutes.</w:t>
      </w:r>
    </w:p>
    <w:p w14:paraId="794CDC9A" w14:textId="77777777" w:rsidR="00FB5BA6" w:rsidRDefault="00FB5BA6" w:rsidP="00FB5BA6">
      <w:pPr>
        <w:spacing w:line="130" w:lineRule="exact"/>
        <w:rPr>
          <w:sz w:val="20"/>
          <w:szCs w:val="20"/>
        </w:rPr>
      </w:pPr>
    </w:p>
    <w:p w14:paraId="14B7EB9F" w14:textId="77777777" w:rsidR="00FB5BA6" w:rsidRDefault="00FB5BA6" w:rsidP="00FB5BA6">
      <w:pPr>
        <w:spacing w:line="247" w:lineRule="auto"/>
        <w:ind w:left="1400" w:right="1386" w:firstLine="566"/>
        <w:jc w:val="both"/>
        <w:rPr>
          <w:sz w:val="20"/>
          <w:szCs w:val="20"/>
        </w:rPr>
      </w:pPr>
      <w:r>
        <w:rPr>
          <w:rFonts w:eastAsia="Times New Roman"/>
          <w:sz w:val="21"/>
          <w:szCs w:val="21"/>
        </w:rPr>
        <w:t>Enfin, s’agissant des entreprises locales de distribution, si le chiffrage n’est pas encore disponible, il peut être approché en retenant 5/95</w:t>
      </w:r>
      <w:r>
        <w:rPr>
          <w:rFonts w:eastAsia="Times New Roman"/>
          <w:sz w:val="27"/>
          <w:szCs w:val="27"/>
          <w:vertAlign w:val="superscript"/>
        </w:rPr>
        <w:t>èmes</w:t>
      </w:r>
      <w:r>
        <w:rPr>
          <w:rFonts w:eastAsia="Times New Roman"/>
          <w:sz w:val="21"/>
          <w:szCs w:val="21"/>
        </w:rPr>
        <w:t xml:space="preserve"> du coût du dispositif Linky, soit 0,28 Md€. Ce coût est</w:t>
      </w:r>
    </w:p>
    <w:p w14:paraId="6ED6E6FC" w14:textId="77777777" w:rsidR="00FB5BA6" w:rsidRDefault="00FB5BA6" w:rsidP="00FB5BA6">
      <w:pPr>
        <w:spacing w:line="20" w:lineRule="exact"/>
        <w:rPr>
          <w:sz w:val="20"/>
          <w:szCs w:val="20"/>
        </w:rPr>
      </w:pPr>
      <w:r>
        <w:rPr>
          <w:noProof/>
          <w:sz w:val="20"/>
          <w:szCs w:val="20"/>
        </w:rPr>
        <mc:AlternateContent>
          <mc:Choice Requires="wps">
            <w:drawing>
              <wp:anchor distT="0" distB="0" distL="114300" distR="114300" simplePos="0" relativeHeight="251686912" behindDoc="1" locked="0" layoutInCell="0" allowOverlap="1" wp14:anchorId="127DD224" wp14:editId="7FF36A7E">
                <wp:simplePos x="0" y="0"/>
                <wp:positionH relativeFrom="column">
                  <wp:posOffset>885190</wp:posOffset>
                </wp:positionH>
                <wp:positionV relativeFrom="paragraph">
                  <wp:posOffset>476885</wp:posOffset>
                </wp:positionV>
                <wp:extent cx="182943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DCB79A" id="Shape 28"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69.7pt,37.55pt" to="213.7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" o:allowincell="f" filled="t" strokeweight=".48pt">
                <v:stroke joinstyle="miter"/>
                <o:lock v:ext="edit" shapetype="f"/>
              </v:line>
            </w:pict>
          </mc:Fallback>
        </mc:AlternateContent>
      </w:r>
    </w:p>
    <w:p w14:paraId="4568428A" w14:textId="77777777" w:rsidR="00FB5BA6" w:rsidRDefault="00FB5BA6" w:rsidP="00FB5BA6">
      <w:pPr>
        <w:spacing w:line="200" w:lineRule="exact"/>
        <w:rPr>
          <w:sz w:val="20"/>
          <w:szCs w:val="20"/>
        </w:rPr>
      </w:pPr>
    </w:p>
    <w:p w14:paraId="4BCD7EAD" w14:textId="77777777" w:rsidR="00FB5BA6" w:rsidRDefault="00FB5BA6" w:rsidP="00FB5BA6">
      <w:pPr>
        <w:spacing w:line="200" w:lineRule="exact"/>
        <w:rPr>
          <w:sz w:val="20"/>
          <w:szCs w:val="20"/>
        </w:rPr>
      </w:pPr>
    </w:p>
    <w:p w14:paraId="258184D2" w14:textId="77777777" w:rsidR="00FB5BA6" w:rsidRDefault="00FB5BA6" w:rsidP="00FB5BA6">
      <w:pPr>
        <w:spacing w:line="200" w:lineRule="exact"/>
        <w:rPr>
          <w:sz w:val="20"/>
          <w:szCs w:val="20"/>
        </w:rPr>
      </w:pPr>
    </w:p>
    <w:p w14:paraId="74D13B30" w14:textId="77777777" w:rsidR="00FB5BA6" w:rsidRDefault="00FB5BA6" w:rsidP="00FB5BA6">
      <w:pPr>
        <w:spacing w:line="237" w:lineRule="exact"/>
        <w:rPr>
          <w:sz w:val="20"/>
          <w:szCs w:val="20"/>
        </w:rPr>
      </w:pPr>
    </w:p>
    <w:p w14:paraId="19D8848B" w14:textId="77777777" w:rsidR="00FB5BA6" w:rsidRDefault="00FB5BA6" w:rsidP="00FB5BA6">
      <w:pPr>
        <w:numPr>
          <w:ilvl w:val="0"/>
          <w:numId w:val="9"/>
        </w:numPr>
        <w:tabs>
          <w:tab w:val="left" w:pos="1618"/>
        </w:tabs>
        <w:spacing w:line="233" w:lineRule="auto"/>
        <w:ind w:left="1400" w:right="1386" w:hanging="5"/>
        <w:jc w:val="both"/>
        <w:rPr>
          <w:rFonts w:eastAsia="Times New Roman"/>
          <w:vertAlign w:val="superscript"/>
        </w:rPr>
      </w:pPr>
      <w:r>
        <w:rPr>
          <w:rFonts w:eastAsia="Times New Roman"/>
          <w:sz w:val="17"/>
          <w:szCs w:val="17"/>
        </w:rPr>
        <w:t>Ce coût est nettement plus élevé que celui sur lequel Enedis communique (4,5 Md€), du fait de la non prise en compte de l’expérimentation, de la phase permettant de passer de 90 à 100 % d’équipement et de certains systèmes d’information nécessaires pour mettre en service certaines fonctionnalités de Linky (250 M€).</w:t>
      </w:r>
    </w:p>
    <w:p w14:paraId="226195C0" w14:textId="77777777" w:rsidR="00FB5BA6" w:rsidRDefault="00FB5BA6" w:rsidP="00FB5BA6">
      <w:pPr>
        <w:spacing w:line="200" w:lineRule="exact"/>
        <w:rPr>
          <w:sz w:val="20"/>
          <w:szCs w:val="20"/>
        </w:rPr>
      </w:pPr>
    </w:p>
    <w:p w14:paraId="14BAA4A5" w14:textId="77777777" w:rsidR="00FB5BA6" w:rsidRDefault="00FB5BA6" w:rsidP="00FB5BA6">
      <w:pPr>
        <w:spacing w:line="200" w:lineRule="exact"/>
        <w:rPr>
          <w:sz w:val="20"/>
          <w:szCs w:val="20"/>
        </w:rPr>
      </w:pPr>
    </w:p>
    <w:p w14:paraId="574B02C4" w14:textId="77777777" w:rsidR="00FB5BA6" w:rsidRDefault="00FB5BA6" w:rsidP="00FB5BA6">
      <w:pPr>
        <w:spacing w:line="200" w:lineRule="exact"/>
        <w:rPr>
          <w:sz w:val="20"/>
          <w:szCs w:val="20"/>
        </w:rPr>
      </w:pPr>
    </w:p>
    <w:p w14:paraId="73B5F536" w14:textId="77777777" w:rsidR="00FB5BA6" w:rsidRDefault="00FB5BA6" w:rsidP="00FB5BA6">
      <w:pPr>
        <w:spacing w:line="200" w:lineRule="exact"/>
        <w:rPr>
          <w:sz w:val="20"/>
          <w:szCs w:val="20"/>
        </w:rPr>
      </w:pPr>
    </w:p>
    <w:p w14:paraId="268D1AEB" w14:textId="77777777" w:rsidR="00FB5BA6" w:rsidRDefault="00FB5BA6" w:rsidP="00FB5BA6">
      <w:pPr>
        <w:spacing w:line="200" w:lineRule="exact"/>
        <w:rPr>
          <w:sz w:val="20"/>
          <w:szCs w:val="20"/>
        </w:rPr>
      </w:pPr>
    </w:p>
    <w:p w14:paraId="0E4E7E6B" w14:textId="77777777" w:rsidR="00FB5BA6" w:rsidRDefault="00FB5BA6" w:rsidP="00FB5BA6">
      <w:pPr>
        <w:spacing w:line="200" w:lineRule="exact"/>
        <w:rPr>
          <w:sz w:val="20"/>
          <w:szCs w:val="20"/>
        </w:rPr>
      </w:pPr>
    </w:p>
    <w:p w14:paraId="74548890" w14:textId="77777777" w:rsidR="00FB5BA6" w:rsidRDefault="00FB5BA6" w:rsidP="00FB5BA6">
      <w:pPr>
        <w:spacing w:line="200" w:lineRule="exact"/>
        <w:rPr>
          <w:sz w:val="20"/>
          <w:szCs w:val="20"/>
        </w:rPr>
      </w:pPr>
    </w:p>
    <w:p w14:paraId="6A07F745" w14:textId="77777777" w:rsidR="00FB5BA6" w:rsidRDefault="00FB5BA6" w:rsidP="00FB5BA6">
      <w:pPr>
        <w:spacing w:line="200" w:lineRule="exact"/>
        <w:rPr>
          <w:sz w:val="20"/>
          <w:szCs w:val="20"/>
        </w:rPr>
      </w:pPr>
    </w:p>
    <w:p w14:paraId="4EA5EEC1" w14:textId="77777777" w:rsidR="00FB5BA6" w:rsidRDefault="00FB5BA6" w:rsidP="00FB5BA6">
      <w:pPr>
        <w:spacing w:line="200" w:lineRule="exact"/>
        <w:rPr>
          <w:sz w:val="20"/>
          <w:szCs w:val="20"/>
        </w:rPr>
      </w:pPr>
    </w:p>
    <w:p w14:paraId="4EC5300A" w14:textId="77777777" w:rsidR="00FB5BA6" w:rsidRDefault="00FB5BA6" w:rsidP="00FB5BA6">
      <w:pPr>
        <w:spacing w:line="336" w:lineRule="exact"/>
        <w:rPr>
          <w:sz w:val="20"/>
          <w:szCs w:val="20"/>
        </w:rPr>
      </w:pPr>
    </w:p>
    <w:p w14:paraId="7DD0C5DF" w14:textId="77777777" w:rsidR="00FB5BA6" w:rsidRDefault="00FB5BA6" w:rsidP="00FB5BA6">
      <w:pPr>
        <w:ind w:right="-13"/>
        <w:jc w:val="center"/>
        <w:rPr>
          <w:sz w:val="20"/>
          <w:szCs w:val="20"/>
        </w:rPr>
      </w:pPr>
      <w:r>
        <w:rPr>
          <w:rFonts w:ascii="Arial" w:eastAsia="Arial" w:hAnsi="Arial" w:cs="Arial"/>
          <w:sz w:val="16"/>
          <w:szCs w:val="16"/>
        </w:rPr>
        <w:t>Rapport public annuel 2018 – février 2018</w:t>
      </w:r>
    </w:p>
    <w:p w14:paraId="4D43FED6" w14:textId="77777777" w:rsidR="00FB5BA6" w:rsidRDefault="00FB5BA6" w:rsidP="00FB5BA6">
      <w:pPr>
        <w:spacing w:line="8" w:lineRule="exact"/>
        <w:rPr>
          <w:sz w:val="20"/>
          <w:szCs w:val="20"/>
        </w:rPr>
      </w:pPr>
    </w:p>
    <w:p w14:paraId="44943747" w14:textId="77777777" w:rsidR="00FB5BA6" w:rsidRDefault="00FB5BA6" w:rsidP="00FB5BA6">
      <w:pPr>
        <w:ind w:right="-13"/>
        <w:jc w:val="center"/>
        <w:rPr>
          <w:sz w:val="20"/>
          <w:szCs w:val="20"/>
        </w:rPr>
      </w:pPr>
      <w:r>
        <w:rPr>
          <w:rFonts w:ascii="Arial" w:eastAsia="Arial" w:hAnsi="Arial" w:cs="Arial"/>
          <w:sz w:val="16"/>
          <w:szCs w:val="16"/>
        </w:rPr>
        <w:t>Cour des comptes - www.ccomptes.fr - @Courdescomptes</w:t>
      </w:r>
    </w:p>
    <w:p w14:paraId="051968FA" w14:textId="77777777" w:rsidR="00FB5BA6" w:rsidRDefault="00FB5BA6" w:rsidP="00FB5BA6">
      <w:pPr>
        <w:sectPr w:rsidR="00FB5BA6">
          <w:pgSz w:w="11900" w:h="16841"/>
          <w:pgMar w:top="1440" w:right="1440" w:bottom="0" w:left="1440" w:header="0" w:footer="0" w:gutter="0"/>
          <w:cols w:space="720" w:equalWidth="0">
            <w:col w:w="9026"/>
          </w:cols>
        </w:sectPr>
      </w:pPr>
    </w:p>
    <w:p w14:paraId="4B52B68F" w14:textId="77777777" w:rsidR="00FB5BA6" w:rsidRDefault="00FB5BA6" w:rsidP="00FB5BA6">
      <w:pPr>
        <w:tabs>
          <w:tab w:val="left" w:pos="6060"/>
        </w:tabs>
        <w:ind w:left="1400"/>
        <w:rPr>
          <w:sz w:val="20"/>
          <w:szCs w:val="20"/>
        </w:rPr>
      </w:pPr>
      <w:bookmarkStart w:id="1" w:name="page12"/>
      <w:bookmarkEnd w:id="1"/>
      <w:r>
        <w:rPr>
          <w:rFonts w:eastAsia="Times New Roman"/>
          <w:sz w:val="15"/>
          <w:szCs w:val="15"/>
        </w:rPr>
        <w:lastRenderedPageBreak/>
        <w:t>254</w:t>
      </w:r>
      <w:r>
        <w:rPr>
          <w:sz w:val="20"/>
          <w:szCs w:val="20"/>
        </w:rPr>
        <w:tab/>
      </w:r>
      <w:r>
        <w:rPr>
          <w:rFonts w:eastAsia="Times New Roman"/>
          <w:sz w:val="15"/>
          <w:szCs w:val="15"/>
        </w:rPr>
        <w:t>COUR DES COMPTES</w:t>
      </w:r>
    </w:p>
    <w:p w14:paraId="3F327C6B" w14:textId="77777777" w:rsidR="00FB5BA6" w:rsidRDefault="00FB5BA6" w:rsidP="00FB5BA6">
      <w:pPr>
        <w:spacing w:line="20" w:lineRule="exact"/>
        <w:rPr>
          <w:sz w:val="20"/>
          <w:szCs w:val="20"/>
        </w:rPr>
      </w:pPr>
      <w:r>
        <w:rPr>
          <w:noProof/>
          <w:sz w:val="20"/>
          <w:szCs w:val="20"/>
        </w:rPr>
        <w:drawing>
          <wp:anchor distT="0" distB="0" distL="114300" distR="114300" simplePos="0" relativeHeight="251687936" behindDoc="1" locked="0" layoutInCell="0" allowOverlap="1" wp14:anchorId="3849658D" wp14:editId="72C99CC6">
            <wp:simplePos x="0" y="0"/>
            <wp:positionH relativeFrom="column">
              <wp:posOffset>867410</wp:posOffset>
            </wp:positionH>
            <wp:positionV relativeFrom="paragraph">
              <wp:posOffset>31115</wp:posOffset>
            </wp:positionV>
            <wp:extent cx="3997960" cy="63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srcRect/>
                    <a:stretch>
                      <a:fillRect/>
                    </a:stretch>
                  </pic:blipFill>
                  <pic:spPr bwMode="auto">
                    <a:xfrm>
                      <a:off x="0" y="0"/>
                      <a:ext cx="3997960" cy="6350"/>
                    </a:xfrm>
                    <a:prstGeom prst="rect">
                      <a:avLst/>
                    </a:prstGeom>
                    <a:noFill/>
                  </pic:spPr>
                </pic:pic>
              </a:graphicData>
            </a:graphic>
          </wp:anchor>
        </w:drawing>
      </w:r>
    </w:p>
    <w:p w14:paraId="0EDBE100" w14:textId="77777777" w:rsidR="00FB5BA6" w:rsidRDefault="00FB5BA6" w:rsidP="00FB5BA6">
      <w:pPr>
        <w:spacing w:line="200" w:lineRule="exact"/>
        <w:rPr>
          <w:sz w:val="20"/>
          <w:szCs w:val="20"/>
        </w:rPr>
      </w:pPr>
    </w:p>
    <w:p w14:paraId="24538575" w14:textId="77777777" w:rsidR="00FB5BA6" w:rsidRDefault="00FB5BA6" w:rsidP="00FB5BA6">
      <w:pPr>
        <w:spacing w:line="276" w:lineRule="exact"/>
        <w:rPr>
          <w:sz w:val="20"/>
          <w:szCs w:val="20"/>
        </w:rPr>
      </w:pPr>
    </w:p>
    <w:p w14:paraId="3333A5C8" w14:textId="77777777" w:rsidR="00FB5BA6" w:rsidRDefault="00FB5BA6" w:rsidP="00FB5BA6">
      <w:pPr>
        <w:spacing w:line="235" w:lineRule="auto"/>
        <w:ind w:left="1400" w:right="1386"/>
        <w:jc w:val="both"/>
        <w:rPr>
          <w:sz w:val="20"/>
          <w:szCs w:val="20"/>
        </w:rPr>
      </w:pPr>
      <w:proofErr w:type="gramStart"/>
      <w:r>
        <w:rPr>
          <w:rFonts w:eastAsia="Times New Roman"/>
          <w:sz w:val="21"/>
          <w:szCs w:val="21"/>
        </w:rPr>
        <w:t>probablement</w:t>
      </w:r>
      <w:proofErr w:type="gramEnd"/>
      <w:r>
        <w:rPr>
          <w:rFonts w:eastAsia="Times New Roman"/>
          <w:sz w:val="21"/>
          <w:szCs w:val="21"/>
        </w:rPr>
        <w:t xml:space="preserve"> sous-évalué, les ELD ne pouvant bénéficier des mêmes économies d’échelle qu’Enedis.</w:t>
      </w:r>
    </w:p>
    <w:p w14:paraId="5F6BC00C" w14:textId="77777777" w:rsidR="00FB5BA6" w:rsidRDefault="00FB5BA6" w:rsidP="00FB5BA6">
      <w:pPr>
        <w:spacing w:line="200" w:lineRule="exact"/>
        <w:rPr>
          <w:sz w:val="20"/>
          <w:szCs w:val="20"/>
        </w:rPr>
      </w:pPr>
    </w:p>
    <w:p w14:paraId="43B376C2" w14:textId="77777777" w:rsidR="00FB5BA6" w:rsidRDefault="00FB5BA6" w:rsidP="00FB5BA6">
      <w:pPr>
        <w:spacing w:line="207" w:lineRule="exact"/>
        <w:rPr>
          <w:sz w:val="20"/>
          <w:szCs w:val="20"/>
        </w:rPr>
      </w:pPr>
    </w:p>
    <w:p w14:paraId="56DFC79E" w14:textId="77777777" w:rsidR="00FB5BA6" w:rsidRDefault="00FB5BA6" w:rsidP="00FB5BA6">
      <w:pPr>
        <w:ind w:right="-13"/>
        <w:jc w:val="center"/>
        <w:rPr>
          <w:sz w:val="20"/>
          <w:szCs w:val="20"/>
        </w:rPr>
      </w:pPr>
      <w:r>
        <w:rPr>
          <w:rFonts w:eastAsia="Times New Roman"/>
          <w:b/>
          <w:bCs/>
          <w:sz w:val="21"/>
          <w:szCs w:val="21"/>
        </w:rPr>
        <w:t>Tableau n° 1 : le coût total des programmes communicants (Md€)</w:t>
      </w:r>
    </w:p>
    <w:p w14:paraId="61F9DBC0" w14:textId="77777777" w:rsidR="00FB5BA6" w:rsidRDefault="00FB5BA6" w:rsidP="00FB5BA6">
      <w:pPr>
        <w:spacing w:line="178" w:lineRule="exact"/>
        <w:rPr>
          <w:sz w:val="20"/>
          <w:szCs w:val="20"/>
        </w:rPr>
      </w:pPr>
    </w:p>
    <w:tbl>
      <w:tblPr>
        <w:tblW w:w="0" w:type="auto"/>
        <w:tblInd w:w="1450" w:type="dxa"/>
        <w:tblLayout w:type="fixed"/>
        <w:tblCellMar>
          <w:left w:w="0" w:type="dxa"/>
          <w:right w:w="0" w:type="dxa"/>
        </w:tblCellMar>
        <w:tblLook w:val="04A0" w:firstRow="1" w:lastRow="0" w:firstColumn="1" w:lastColumn="0" w:noHBand="0" w:noVBand="1"/>
      </w:tblPr>
      <w:tblGrid>
        <w:gridCol w:w="960"/>
        <w:gridCol w:w="3780"/>
        <w:gridCol w:w="1400"/>
      </w:tblGrid>
      <w:tr w:rsidR="00FB5BA6" w14:paraId="08CA5571" w14:textId="77777777" w:rsidTr="0003411C">
        <w:trPr>
          <w:trHeight w:val="263"/>
        </w:trPr>
        <w:tc>
          <w:tcPr>
            <w:tcW w:w="960" w:type="dxa"/>
            <w:vAlign w:val="bottom"/>
          </w:tcPr>
          <w:p w14:paraId="49704F68" w14:textId="77777777" w:rsidR="00FB5BA6" w:rsidRDefault="00FB5BA6" w:rsidP="0003411C"/>
        </w:tc>
        <w:tc>
          <w:tcPr>
            <w:tcW w:w="3780" w:type="dxa"/>
            <w:tcBorders>
              <w:right w:val="single" w:sz="8" w:space="0" w:color="auto"/>
            </w:tcBorders>
            <w:vAlign w:val="bottom"/>
          </w:tcPr>
          <w:p w14:paraId="74A32FE1" w14:textId="77777777" w:rsidR="00FB5BA6" w:rsidRDefault="00FB5BA6" w:rsidP="0003411C"/>
        </w:tc>
        <w:tc>
          <w:tcPr>
            <w:tcW w:w="1400" w:type="dxa"/>
            <w:tcBorders>
              <w:top w:val="single" w:sz="8" w:space="0" w:color="auto"/>
              <w:right w:val="single" w:sz="8" w:space="0" w:color="auto"/>
            </w:tcBorders>
            <w:vAlign w:val="bottom"/>
          </w:tcPr>
          <w:p w14:paraId="3370C88B" w14:textId="77777777" w:rsidR="00FB5BA6" w:rsidRDefault="00FB5BA6" w:rsidP="0003411C">
            <w:pPr>
              <w:jc w:val="center"/>
              <w:rPr>
                <w:sz w:val="20"/>
                <w:szCs w:val="20"/>
              </w:rPr>
            </w:pPr>
            <w:r>
              <w:rPr>
                <w:rFonts w:eastAsia="Times New Roman"/>
                <w:w w:val="99"/>
                <w:sz w:val="19"/>
                <w:szCs w:val="19"/>
              </w:rPr>
              <w:t>Montant</w:t>
            </w:r>
          </w:p>
        </w:tc>
      </w:tr>
      <w:tr w:rsidR="00FB5BA6" w14:paraId="1EE258D9" w14:textId="77777777" w:rsidTr="0003411C">
        <w:trPr>
          <w:trHeight w:val="46"/>
        </w:trPr>
        <w:tc>
          <w:tcPr>
            <w:tcW w:w="4740" w:type="dxa"/>
            <w:gridSpan w:val="2"/>
            <w:tcBorders>
              <w:bottom w:val="single" w:sz="8" w:space="0" w:color="auto"/>
              <w:right w:val="single" w:sz="8" w:space="0" w:color="auto"/>
            </w:tcBorders>
            <w:vAlign w:val="bottom"/>
          </w:tcPr>
          <w:p w14:paraId="553C7477" w14:textId="77777777" w:rsidR="00FB5BA6" w:rsidRDefault="00FB5BA6" w:rsidP="0003411C">
            <w:pPr>
              <w:rPr>
                <w:sz w:val="4"/>
                <w:szCs w:val="4"/>
              </w:rPr>
            </w:pPr>
          </w:p>
        </w:tc>
        <w:tc>
          <w:tcPr>
            <w:tcW w:w="1400" w:type="dxa"/>
            <w:tcBorders>
              <w:bottom w:val="single" w:sz="8" w:space="0" w:color="auto"/>
              <w:right w:val="single" w:sz="8" w:space="0" w:color="auto"/>
            </w:tcBorders>
            <w:vAlign w:val="bottom"/>
          </w:tcPr>
          <w:p w14:paraId="0B4CDDB6" w14:textId="77777777" w:rsidR="00FB5BA6" w:rsidRDefault="00FB5BA6" w:rsidP="0003411C">
            <w:pPr>
              <w:rPr>
                <w:sz w:val="4"/>
                <w:szCs w:val="4"/>
              </w:rPr>
            </w:pPr>
          </w:p>
        </w:tc>
      </w:tr>
      <w:tr w:rsidR="00FB5BA6" w14:paraId="0B7054F2" w14:textId="77777777" w:rsidTr="0003411C">
        <w:trPr>
          <w:trHeight w:val="241"/>
        </w:trPr>
        <w:tc>
          <w:tcPr>
            <w:tcW w:w="4740" w:type="dxa"/>
            <w:gridSpan w:val="2"/>
            <w:tcBorders>
              <w:left w:val="single" w:sz="8" w:space="0" w:color="auto"/>
              <w:right w:val="single" w:sz="8" w:space="0" w:color="auto"/>
            </w:tcBorders>
            <w:vAlign w:val="bottom"/>
          </w:tcPr>
          <w:p w14:paraId="6C774C7A" w14:textId="77777777" w:rsidR="00FB5BA6" w:rsidRDefault="00FB5BA6" w:rsidP="0003411C">
            <w:pPr>
              <w:ind w:left="120"/>
              <w:rPr>
                <w:sz w:val="20"/>
                <w:szCs w:val="20"/>
              </w:rPr>
            </w:pPr>
            <w:r>
              <w:rPr>
                <w:rFonts w:eastAsia="Times New Roman"/>
                <w:i/>
                <w:iCs/>
                <w:sz w:val="19"/>
                <w:szCs w:val="19"/>
              </w:rPr>
              <w:t>Linky : expérimentation</w:t>
            </w:r>
          </w:p>
        </w:tc>
        <w:tc>
          <w:tcPr>
            <w:tcW w:w="1400" w:type="dxa"/>
            <w:tcBorders>
              <w:right w:val="single" w:sz="8" w:space="0" w:color="auto"/>
            </w:tcBorders>
            <w:vAlign w:val="bottom"/>
          </w:tcPr>
          <w:p w14:paraId="37BDE7BF" w14:textId="77777777" w:rsidR="00FB5BA6" w:rsidRDefault="00FB5BA6" w:rsidP="0003411C">
            <w:pPr>
              <w:jc w:val="center"/>
              <w:rPr>
                <w:sz w:val="20"/>
                <w:szCs w:val="20"/>
              </w:rPr>
            </w:pPr>
            <w:r>
              <w:rPr>
                <w:rFonts w:eastAsia="Times New Roman"/>
                <w:w w:val="96"/>
                <w:sz w:val="19"/>
                <w:szCs w:val="19"/>
              </w:rPr>
              <w:t>0,15</w:t>
            </w:r>
          </w:p>
        </w:tc>
      </w:tr>
      <w:tr w:rsidR="00FB5BA6" w14:paraId="10AA9772" w14:textId="77777777" w:rsidTr="0003411C">
        <w:trPr>
          <w:trHeight w:val="49"/>
        </w:trPr>
        <w:tc>
          <w:tcPr>
            <w:tcW w:w="4740" w:type="dxa"/>
            <w:gridSpan w:val="2"/>
            <w:tcBorders>
              <w:left w:val="single" w:sz="8" w:space="0" w:color="auto"/>
              <w:bottom w:val="single" w:sz="8" w:space="0" w:color="auto"/>
              <w:right w:val="single" w:sz="8" w:space="0" w:color="auto"/>
            </w:tcBorders>
            <w:vAlign w:val="bottom"/>
          </w:tcPr>
          <w:p w14:paraId="6F77711F" w14:textId="77777777" w:rsidR="00FB5BA6" w:rsidRDefault="00FB5BA6" w:rsidP="0003411C">
            <w:pPr>
              <w:rPr>
                <w:sz w:val="4"/>
                <w:szCs w:val="4"/>
              </w:rPr>
            </w:pPr>
          </w:p>
        </w:tc>
        <w:tc>
          <w:tcPr>
            <w:tcW w:w="1400" w:type="dxa"/>
            <w:tcBorders>
              <w:bottom w:val="single" w:sz="8" w:space="0" w:color="auto"/>
              <w:right w:val="single" w:sz="8" w:space="0" w:color="auto"/>
            </w:tcBorders>
            <w:vAlign w:val="bottom"/>
          </w:tcPr>
          <w:p w14:paraId="543BAEB7" w14:textId="77777777" w:rsidR="00FB5BA6" w:rsidRDefault="00FB5BA6" w:rsidP="0003411C">
            <w:pPr>
              <w:rPr>
                <w:sz w:val="4"/>
                <w:szCs w:val="4"/>
              </w:rPr>
            </w:pPr>
          </w:p>
        </w:tc>
      </w:tr>
      <w:tr w:rsidR="00FB5BA6" w14:paraId="542122AD" w14:textId="77777777" w:rsidTr="0003411C">
        <w:trPr>
          <w:trHeight w:val="241"/>
        </w:trPr>
        <w:tc>
          <w:tcPr>
            <w:tcW w:w="4740" w:type="dxa"/>
            <w:gridSpan w:val="2"/>
            <w:tcBorders>
              <w:left w:val="single" w:sz="8" w:space="0" w:color="auto"/>
              <w:right w:val="single" w:sz="8" w:space="0" w:color="auto"/>
            </w:tcBorders>
            <w:vAlign w:val="bottom"/>
          </w:tcPr>
          <w:p w14:paraId="7B80B8A4" w14:textId="77777777" w:rsidR="00FB5BA6" w:rsidRDefault="00FB5BA6" w:rsidP="0003411C">
            <w:pPr>
              <w:ind w:left="120"/>
              <w:rPr>
                <w:sz w:val="20"/>
                <w:szCs w:val="20"/>
              </w:rPr>
            </w:pPr>
            <w:r>
              <w:rPr>
                <w:rFonts w:eastAsia="Times New Roman"/>
                <w:i/>
                <w:iCs/>
                <w:sz w:val="19"/>
                <w:szCs w:val="19"/>
              </w:rPr>
              <w:t>Linky : déploiement massif (2015-2021)</w:t>
            </w:r>
          </w:p>
        </w:tc>
        <w:tc>
          <w:tcPr>
            <w:tcW w:w="1400" w:type="dxa"/>
            <w:tcBorders>
              <w:right w:val="single" w:sz="8" w:space="0" w:color="auto"/>
            </w:tcBorders>
            <w:vAlign w:val="bottom"/>
          </w:tcPr>
          <w:p w14:paraId="14386FAE" w14:textId="77777777" w:rsidR="00FB5BA6" w:rsidRDefault="00FB5BA6" w:rsidP="0003411C">
            <w:pPr>
              <w:jc w:val="center"/>
              <w:rPr>
                <w:sz w:val="20"/>
                <w:szCs w:val="20"/>
              </w:rPr>
            </w:pPr>
            <w:r>
              <w:rPr>
                <w:rFonts w:eastAsia="Times New Roman"/>
                <w:w w:val="96"/>
                <w:sz w:val="19"/>
                <w:szCs w:val="19"/>
              </w:rPr>
              <w:t>4,70</w:t>
            </w:r>
          </w:p>
        </w:tc>
      </w:tr>
      <w:tr w:rsidR="00FB5BA6" w14:paraId="4A150BAA" w14:textId="77777777" w:rsidTr="0003411C">
        <w:trPr>
          <w:trHeight w:val="259"/>
        </w:trPr>
        <w:tc>
          <w:tcPr>
            <w:tcW w:w="960" w:type="dxa"/>
            <w:tcBorders>
              <w:left w:val="single" w:sz="8" w:space="0" w:color="auto"/>
            </w:tcBorders>
            <w:vAlign w:val="bottom"/>
          </w:tcPr>
          <w:p w14:paraId="163C3718" w14:textId="77777777" w:rsidR="00FB5BA6" w:rsidRDefault="00FB5BA6" w:rsidP="0003411C">
            <w:pPr>
              <w:ind w:left="120"/>
              <w:rPr>
                <w:sz w:val="20"/>
                <w:szCs w:val="20"/>
              </w:rPr>
            </w:pPr>
            <w:r>
              <w:rPr>
                <w:rFonts w:eastAsia="Times New Roman"/>
                <w:sz w:val="19"/>
                <w:szCs w:val="19"/>
              </w:rPr>
              <w:t>dont :</w:t>
            </w:r>
          </w:p>
        </w:tc>
        <w:tc>
          <w:tcPr>
            <w:tcW w:w="3780" w:type="dxa"/>
            <w:tcBorders>
              <w:right w:val="single" w:sz="8" w:space="0" w:color="auto"/>
            </w:tcBorders>
            <w:vAlign w:val="bottom"/>
          </w:tcPr>
          <w:p w14:paraId="1F1A4AF1" w14:textId="77777777" w:rsidR="00FB5BA6" w:rsidRDefault="00FB5BA6" w:rsidP="0003411C">
            <w:pPr>
              <w:ind w:left="1400"/>
              <w:rPr>
                <w:sz w:val="20"/>
                <w:szCs w:val="20"/>
              </w:rPr>
            </w:pPr>
            <w:r>
              <w:rPr>
                <w:rFonts w:eastAsia="Times New Roman"/>
                <w:sz w:val="19"/>
                <w:szCs w:val="19"/>
              </w:rPr>
              <w:t>Achat et pose des compteurs</w:t>
            </w:r>
          </w:p>
        </w:tc>
        <w:tc>
          <w:tcPr>
            <w:tcW w:w="1400" w:type="dxa"/>
            <w:tcBorders>
              <w:right w:val="single" w:sz="8" w:space="0" w:color="auto"/>
            </w:tcBorders>
            <w:vAlign w:val="bottom"/>
          </w:tcPr>
          <w:p w14:paraId="4EB9D45E" w14:textId="77777777" w:rsidR="00FB5BA6" w:rsidRDefault="00FB5BA6" w:rsidP="0003411C">
            <w:pPr>
              <w:jc w:val="center"/>
              <w:rPr>
                <w:sz w:val="20"/>
                <w:szCs w:val="20"/>
              </w:rPr>
            </w:pPr>
            <w:r>
              <w:rPr>
                <w:rFonts w:eastAsia="Times New Roman"/>
                <w:i/>
                <w:iCs/>
                <w:w w:val="96"/>
                <w:sz w:val="19"/>
                <w:szCs w:val="19"/>
              </w:rPr>
              <w:t>2,98</w:t>
            </w:r>
          </w:p>
        </w:tc>
      </w:tr>
      <w:tr w:rsidR="00FB5BA6" w14:paraId="6E4423D9" w14:textId="77777777" w:rsidTr="0003411C">
        <w:trPr>
          <w:trHeight w:val="259"/>
        </w:trPr>
        <w:tc>
          <w:tcPr>
            <w:tcW w:w="960" w:type="dxa"/>
            <w:tcBorders>
              <w:left w:val="single" w:sz="8" w:space="0" w:color="auto"/>
            </w:tcBorders>
            <w:vAlign w:val="bottom"/>
          </w:tcPr>
          <w:p w14:paraId="246D59B8" w14:textId="77777777" w:rsidR="00FB5BA6" w:rsidRDefault="00FB5BA6" w:rsidP="0003411C"/>
        </w:tc>
        <w:tc>
          <w:tcPr>
            <w:tcW w:w="3780" w:type="dxa"/>
            <w:tcBorders>
              <w:right w:val="single" w:sz="8" w:space="0" w:color="auto"/>
            </w:tcBorders>
            <w:vAlign w:val="bottom"/>
          </w:tcPr>
          <w:p w14:paraId="12179CF9" w14:textId="77777777" w:rsidR="00FB5BA6" w:rsidRDefault="00FB5BA6" w:rsidP="0003411C">
            <w:pPr>
              <w:ind w:left="400"/>
              <w:rPr>
                <w:sz w:val="20"/>
                <w:szCs w:val="20"/>
              </w:rPr>
            </w:pPr>
            <w:r>
              <w:rPr>
                <w:rFonts w:eastAsia="Times New Roman"/>
                <w:sz w:val="19"/>
                <w:szCs w:val="19"/>
              </w:rPr>
              <w:t>Achat et pose des concentrateurs et postes</w:t>
            </w:r>
          </w:p>
        </w:tc>
        <w:tc>
          <w:tcPr>
            <w:tcW w:w="1400" w:type="dxa"/>
            <w:tcBorders>
              <w:right w:val="single" w:sz="8" w:space="0" w:color="auto"/>
            </w:tcBorders>
            <w:vAlign w:val="bottom"/>
          </w:tcPr>
          <w:p w14:paraId="2EEDA79E" w14:textId="77777777" w:rsidR="00FB5BA6" w:rsidRDefault="00FB5BA6" w:rsidP="0003411C">
            <w:pPr>
              <w:jc w:val="center"/>
              <w:rPr>
                <w:sz w:val="20"/>
                <w:szCs w:val="20"/>
              </w:rPr>
            </w:pPr>
            <w:r>
              <w:rPr>
                <w:rFonts w:eastAsia="Times New Roman"/>
                <w:i/>
                <w:iCs/>
                <w:w w:val="96"/>
                <w:sz w:val="19"/>
                <w:szCs w:val="19"/>
              </w:rPr>
              <w:t>0,45</w:t>
            </w:r>
          </w:p>
        </w:tc>
      </w:tr>
      <w:tr w:rsidR="00FB5BA6" w14:paraId="18432A6F" w14:textId="77777777" w:rsidTr="0003411C">
        <w:trPr>
          <w:trHeight w:val="257"/>
        </w:trPr>
        <w:tc>
          <w:tcPr>
            <w:tcW w:w="960" w:type="dxa"/>
            <w:tcBorders>
              <w:left w:val="single" w:sz="8" w:space="0" w:color="auto"/>
            </w:tcBorders>
            <w:vAlign w:val="bottom"/>
          </w:tcPr>
          <w:p w14:paraId="472038AA" w14:textId="77777777" w:rsidR="00FB5BA6" w:rsidRDefault="00FB5BA6" w:rsidP="0003411C"/>
        </w:tc>
        <w:tc>
          <w:tcPr>
            <w:tcW w:w="3780" w:type="dxa"/>
            <w:tcBorders>
              <w:right w:val="single" w:sz="8" w:space="0" w:color="auto"/>
            </w:tcBorders>
            <w:vAlign w:val="bottom"/>
          </w:tcPr>
          <w:p w14:paraId="3A2A9CE9" w14:textId="77777777" w:rsidR="00FB5BA6" w:rsidRDefault="00FB5BA6" w:rsidP="0003411C">
            <w:pPr>
              <w:ind w:left="1820"/>
              <w:rPr>
                <w:sz w:val="20"/>
                <w:szCs w:val="20"/>
              </w:rPr>
            </w:pPr>
            <w:r>
              <w:rPr>
                <w:rFonts w:eastAsia="Times New Roman"/>
                <w:sz w:val="19"/>
                <w:szCs w:val="19"/>
              </w:rPr>
              <w:t>Systèmes d’information</w:t>
            </w:r>
          </w:p>
        </w:tc>
        <w:tc>
          <w:tcPr>
            <w:tcW w:w="1400" w:type="dxa"/>
            <w:tcBorders>
              <w:right w:val="single" w:sz="8" w:space="0" w:color="auto"/>
            </w:tcBorders>
            <w:vAlign w:val="bottom"/>
          </w:tcPr>
          <w:p w14:paraId="0FD2779B" w14:textId="77777777" w:rsidR="00FB5BA6" w:rsidRDefault="00FB5BA6" w:rsidP="0003411C">
            <w:pPr>
              <w:jc w:val="center"/>
              <w:rPr>
                <w:sz w:val="20"/>
                <w:szCs w:val="20"/>
              </w:rPr>
            </w:pPr>
            <w:r>
              <w:rPr>
                <w:rFonts w:eastAsia="Times New Roman"/>
                <w:i/>
                <w:iCs/>
                <w:w w:val="96"/>
                <w:sz w:val="19"/>
                <w:szCs w:val="19"/>
              </w:rPr>
              <w:t>0,61</w:t>
            </w:r>
          </w:p>
        </w:tc>
      </w:tr>
      <w:tr w:rsidR="00FB5BA6" w14:paraId="5C03FBE9" w14:textId="77777777" w:rsidTr="0003411C">
        <w:trPr>
          <w:trHeight w:val="259"/>
        </w:trPr>
        <w:tc>
          <w:tcPr>
            <w:tcW w:w="960" w:type="dxa"/>
            <w:tcBorders>
              <w:left w:val="single" w:sz="8" w:space="0" w:color="auto"/>
            </w:tcBorders>
            <w:vAlign w:val="bottom"/>
          </w:tcPr>
          <w:p w14:paraId="63BFB5D8" w14:textId="77777777" w:rsidR="00FB5BA6" w:rsidRDefault="00FB5BA6" w:rsidP="0003411C"/>
        </w:tc>
        <w:tc>
          <w:tcPr>
            <w:tcW w:w="3780" w:type="dxa"/>
            <w:tcBorders>
              <w:right w:val="single" w:sz="8" w:space="0" w:color="auto"/>
            </w:tcBorders>
            <w:vAlign w:val="bottom"/>
          </w:tcPr>
          <w:p w14:paraId="4CB01149" w14:textId="77777777" w:rsidR="00FB5BA6" w:rsidRDefault="00FB5BA6" w:rsidP="0003411C">
            <w:pPr>
              <w:ind w:left="3100"/>
              <w:rPr>
                <w:sz w:val="20"/>
                <w:szCs w:val="20"/>
              </w:rPr>
            </w:pPr>
            <w:r>
              <w:rPr>
                <w:rFonts w:eastAsia="Times New Roman"/>
                <w:sz w:val="19"/>
                <w:szCs w:val="19"/>
              </w:rPr>
              <w:t>Autres</w:t>
            </w:r>
          </w:p>
        </w:tc>
        <w:tc>
          <w:tcPr>
            <w:tcW w:w="1400" w:type="dxa"/>
            <w:tcBorders>
              <w:right w:val="single" w:sz="8" w:space="0" w:color="auto"/>
            </w:tcBorders>
            <w:vAlign w:val="bottom"/>
          </w:tcPr>
          <w:p w14:paraId="1993F3FD" w14:textId="77777777" w:rsidR="00FB5BA6" w:rsidRDefault="00FB5BA6" w:rsidP="0003411C">
            <w:pPr>
              <w:jc w:val="center"/>
              <w:rPr>
                <w:sz w:val="20"/>
                <w:szCs w:val="20"/>
              </w:rPr>
            </w:pPr>
            <w:r>
              <w:rPr>
                <w:rFonts w:eastAsia="Times New Roman"/>
                <w:i/>
                <w:iCs/>
                <w:w w:val="96"/>
                <w:sz w:val="19"/>
                <w:szCs w:val="19"/>
              </w:rPr>
              <w:t>0,66</w:t>
            </w:r>
          </w:p>
        </w:tc>
      </w:tr>
      <w:tr w:rsidR="00FB5BA6" w14:paraId="19E16934" w14:textId="77777777" w:rsidTr="0003411C">
        <w:trPr>
          <w:trHeight w:val="46"/>
        </w:trPr>
        <w:tc>
          <w:tcPr>
            <w:tcW w:w="4740" w:type="dxa"/>
            <w:gridSpan w:val="2"/>
            <w:tcBorders>
              <w:left w:val="single" w:sz="8" w:space="0" w:color="auto"/>
              <w:bottom w:val="single" w:sz="8" w:space="0" w:color="auto"/>
              <w:right w:val="single" w:sz="8" w:space="0" w:color="auto"/>
            </w:tcBorders>
            <w:vAlign w:val="bottom"/>
          </w:tcPr>
          <w:p w14:paraId="1FE41308" w14:textId="77777777" w:rsidR="00FB5BA6" w:rsidRDefault="00FB5BA6" w:rsidP="0003411C">
            <w:pPr>
              <w:rPr>
                <w:sz w:val="4"/>
                <w:szCs w:val="4"/>
              </w:rPr>
            </w:pPr>
          </w:p>
        </w:tc>
        <w:tc>
          <w:tcPr>
            <w:tcW w:w="1400" w:type="dxa"/>
            <w:tcBorders>
              <w:bottom w:val="single" w:sz="8" w:space="0" w:color="auto"/>
              <w:right w:val="single" w:sz="8" w:space="0" w:color="auto"/>
            </w:tcBorders>
            <w:vAlign w:val="bottom"/>
          </w:tcPr>
          <w:p w14:paraId="0BBAD747" w14:textId="77777777" w:rsidR="00FB5BA6" w:rsidRDefault="00FB5BA6" w:rsidP="0003411C">
            <w:pPr>
              <w:rPr>
                <w:sz w:val="4"/>
                <w:szCs w:val="4"/>
              </w:rPr>
            </w:pPr>
          </w:p>
        </w:tc>
      </w:tr>
      <w:tr w:rsidR="00FB5BA6" w14:paraId="54A7766A" w14:textId="77777777" w:rsidTr="0003411C">
        <w:trPr>
          <w:trHeight w:val="241"/>
        </w:trPr>
        <w:tc>
          <w:tcPr>
            <w:tcW w:w="4740" w:type="dxa"/>
            <w:gridSpan w:val="2"/>
            <w:tcBorders>
              <w:left w:val="single" w:sz="8" w:space="0" w:color="auto"/>
              <w:right w:val="single" w:sz="8" w:space="0" w:color="auto"/>
            </w:tcBorders>
            <w:vAlign w:val="bottom"/>
          </w:tcPr>
          <w:p w14:paraId="778DC262" w14:textId="77777777" w:rsidR="00FB5BA6" w:rsidRDefault="00FB5BA6" w:rsidP="0003411C">
            <w:pPr>
              <w:ind w:left="120"/>
              <w:rPr>
                <w:sz w:val="20"/>
                <w:szCs w:val="20"/>
              </w:rPr>
            </w:pPr>
            <w:r>
              <w:rPr>
                <w:rFonts w:eastAsia="Times New Roman"/>
                <w:i/>
                <w:iCs/>
                <w:sz w:val="19"/>
                <w:szCs w:val="19"/>
              </w:rPr>
              <w:t>Linky : déploiement 2022-2024</w:t>
            </w:r>
          </w:p>
        </w:tc>
        <w:tc>
          <w:tcPr>
            <w:tcW w:w="1400" w:type="dxa"/>
            <w:tcBorders>
              <w:right w:val="single" w:sz="8" w:space="0" w:color="auto"/>
            </w:tcBorders>
            <w:vAlign w:val="bottom"/>
          </w:tcPr>
          <w:p w14:paraId="14672948" w14:textId="77777777" w:rsidR="00FB5BA6" w:rsidRDefault="00FB5BA6" w:rsidP="0003411C">
            <w:pPr>
              <w:jc w:val="center"/>
              <w:rPr>
                <w:sz w:val="20"/>
                <w:szCs w:val="20"/>
              </w:rPr>
            </w:pPr>
            <w:r>
              <w:rPr>
                <w:rFonts w:eastAsia="Times New Roman"/>
                <w:w w:val="96"/>
                <w:sz w:val="19"/>
                <w:szCs w:val="19"/>
              </w:rPr>
              <w:t>0,54</w:t>
            </w:r>
          </w:p>
        </w:tc>
      </w:tr>
      <w:tr w:rsidR="00FB5BA6" w14:paraId="0CB96E4C" w14:textId="77777777" w:rsidTr="0003411C">
        <w:trPr>
          <w:trHeight w:val="46"/>
        </w:trPr>
        <w:tc>
          <w:tcPr>
            <w:tcW w:w="4740" w:type="dxa"/>
            <w:gridSpan w:val="2"/>
            <w:tcBorders>
              <w:left w:val="single" w:sz="8" w:space="0" w:color="auto"/>
              <w:bottom w:val="single" w:sz="8" w:space="0" w:color="auto"/>
              <w:right w:val="single" w:sz="8" w:space="0" w:color="auto"/>
            </w:tcBorders>
            <w:vAlign w:val="bottom"/>
          </w:tcPr>
          <w:p w14:paraId="37769062" w14:textId="77777777" w:rsidR="00FB5BA6" w:rsidRDefault="00FB5BA6" w:rsidP="0003411C">
            <w:pPr>
              <w:rPr>
                <w:sz w:val="4"/>
                <w:szCs w:val="4"/>
              </w:rPr>
            </w:pPr>
          </w:p>
        </w:tc>
        <w:tc>
          <w:tcPr>
            <w:tcW w:w="1400" w:type="dxa"/>
            <w:tcBorders>
              <w:bottom w:val="single" w:sz="8" w:space="0" w:color="auto"/>
              <w:right w:val="single" w:sz="8" w:space="0" w:color="auto"/>
            </w:tcBorders>
            <w:vAlign w:val="bottom"/>
          </w:tcPr>
          <w:p w14:paraId="5A8DCB34" w14:textId="77777777" w:rsidR="00FB5BA6" w:rsidRDefault="00FB5BA6" w:rsidP="0003411C">
            <w:pPr>
              <w:rPr>
                <w:sz w:val="4"/>
                <w:szCs w:val="4"/>
              </w:rPr>
            </w:pPr>
          </w:p>
        </w:tc>
      </w:tr>
      <w:tr w:rsidR="00FB5BA6" w14:paraId="33DF72D8" w14:textId="77777777" w:rsidTr="0003411C">
        <w:trPr>
          <w:trHeight w:val="243"/>
        </w:trPr>
        <w:tc>
          <w:tcPr>
            <w:tcW w:w="4740" w:type="dxa"/>
            <w:gridSpan w:val="2"/>
            <w:tcBorders>
              <w:left w:val="single" w:sz="8" w:space="0" w:color="auto"/>
              <w:right w:val="single" w:sz="8" w:space="0" w:color="auto"/>
            </w:tcBorders>
            <w:vAlign w:val="bottom"/>
          </w:tcPr>
          <w:p w14:paraId="40C91C5F" w14:textId="77777777" w:rsidR="00FB5BA6" w:rsidRDefault="00FB5BA6" w:rsidP="0003411C">
            <w:pPr>
              <w:ind w:left="120"/>
              <w:rPr>
                <w:sz w:val="20"/>
                <w:szCs w:val="20"/>
              </w:rPr>
            </w:pPr>
            <w:r>
              <w:rPr>
                <w:rFonts w:eastAsia="Times New Roman"/>
                <w:i/>
                <w:iCs/>
                <w:sz w:val="19"/>
                <w:szCs w:val="19"/>
              </w:rPr>
              <w:t>Programmes des entreprises locales de distribution (ELD)</w:t>
            </w:r>
          </w:p>
        </w:tc>
        <w:tc>
          <w:tcPr>
            <w:tcW w:w="1400" w:type="dxa"/>
            <w:tcBorders>
              <w:right w:val="single" w:sz="8" w:space="0" w:color="auto"/>
            </w:tcBorders>
            <w:vAlign w:val="bottom"/>
          </w:tcPr>
          <w:p w14:paraId="7E523C47" w14:textId="77777777" w:rsidR="00FB5BA6" w:rsidRDefault="00FB5BA6" w:rsidP="0003411C">
            <w:pPr>
              <w:jc w:val="center"/>
              <w:rPr>
                <w:sz w:val="20"/>
                <w:szCs w:val="20"/>
              </w:rPr>
            </w:pPr>
            <w:r>
              <w:rPr>
                <w:rFonts w:eastAsia="Times New Roman"/>
                <w:w w:val="96"/>
                <w:sz w:val="19"/>
                <w:szCs w:val="19"/>
              </w:rPr>
              <w:t>0,28</w:t>
            </w:r>
          </w:p>
        </w:tc>
      </w:tr>
      <w:tr w:rsidR="00FB5BA6" w14:paraId="465A9F2E" w14:textId="77777777" w:rsidTr="0003411C">
        <w:trPr>
          <w:trHeight w:val="46"/>
        </w:trPr>
        <w:tc>
          <w:tcPr>
            <w:tcW w:w="960" w:type="dxa"/>
            <w:tcBorders>
              <w:left w:val="single" w:sz="8" w:space="0" w:color="auto"/>
              <w:bottom w:val="single" w:sz="8" w:space="0" w:color="auto"/>
            </w:tcBorders>
            <w:vAlign w:val="bottom"/>
          </w:tcPr>
          <w:p w14:paraId="1E459679" w14:textId="77777777" w:rsidR="00FB5BA6" w:rsidRDefault="00FB5BA6" w:rsidP="0003411C">
            <w:pPr>
              <w:rPr>
                <w:sz w:val="4"/>
                <w:szCs w:val="4"/>
              </w:rPr>
            </w:pPr>
          </w:p>
        </w:tc>
        <w:tc>
          <w:tcPr>
            <w:tcW w:w="3780" w:type="dxa"/>
            <w:tcBorders>
              <w:bottom w:val="single" w:sz="8" w:space="0" w:color="auto"/>
              <w:right w:val="single" w:sz="8" w:space="0" w:color="auto"/>
            </w:tcBorders>
            <w:vAlign w:val="bottom"/>
          </w:tcPr>
          <w:p w14:paraId="6EAA56CD" w14:textId="77777777" w:rsidR="00FB5BA6" w:rsidRDefault="00FB5BA6" w:rsidP="0003411C">
            <w:pPr>
              <w:rPr>
                <w:sz w:val="4"/>
                <w:szCs w:val="4"/>
              </w:rPr>
            </w:pPr>
          </w:p>
        </w:tc>
        <w:tc>
          <w:tcPr>
            <w:tcW w:w="1400" w:type="dxa"/>
            <w:tcBorders>
              <w:bottom w:val="single" w:sz="8" w:space="0" w:color="auto"/>
              <w:right w:val="single" w:sz="8" w:space="0" w:color="auto"/>
            </w:tcBorders>
            <w:vAlign w:val="bottom"/>
          </w:tcPr>
          <w:p w14:paraId="17D0F52E" w14:textId="77777777" w:rsidR="00FB5BA6" w:rsidRDefault="00FB5BA6" w:rsidP="0003411C">
            <w:pPr>
              <w:rPr>
                <w:sz w:val="4"/>
                <w:szCs w:val="4"/>
              </w:rPr>
            </w:pPr>
          </w:p>
        </w:tc>
      </w:tr>
      <w:tr w:rsidR="00FB5BA6" w14:paraId="5430FC67" w14:textId="77777777" w:rsidTr="0003411C">
        <w:trPr>
          <w:trHeight w:val="246"/>
        </w:trPr>
        <w:tc>
          <w:tcPr>
            <w:tcW w:w="960" w:type="dxa"/>
            <w:tcBorders>
              <w:left w:val="single" w:sz="8" w:space="0" w:color="auto"/>
            </w:tcBorders>
            <w:vAlign w:val="bottom"/>
          </w:tcPr>
          <w:p w14:paraId="1D998DC4" w14:textId="77777777" w:rsidR="00FB5BA6" w:rsidRDefault="00FB5BA6" w:rsidP="0003411C">
            <w:pPr>
              <w:ind w:left="120"/>
              <w:rPr>
                <w:sz w:val="20"/>
                <w:szCs w:val="20"/>
              </w:rPr>
            </w:pPr>
            <w:r>
              <w:rPr>
                <w:rFonts w:eastAsia="Times New Roman"/>
                <w:b/>
                <w:bCs/>
                <w:i/>
                <w:iCs/>
                <w:sz w:val="19"/>
                <w:szCs w:val="19"/>
              </w:rPr>
              <w:t>Total</w:t>
            </w:r>
          </w:p>
        </w:tc>
        <w:tc>
          <w:tcPr>
            <w:tcW w:w="3780" w:type="dxa"/>
            <w:tcBorders>
              <w:right w:val="single" w:sz="8" w:space="0" w:color="auto"/>
            </w:tcBorders>
            <w:vAlign w:val="bottom"/>
          </w:tcPr>
          <w:p w14:paraId="26E05AD1" w14:textId="77777777" w:rsidR="00FB5BA6" w:rsidRDefault="00FB5BA6" w:rsidP="0003411C">
            <w:pPr>
              <w:rPr>
                <w:sz w:val="21"/>
                <w:szCs w:val="21"/>
              </w:rPr>
            </w:pPr>
          </w:p>
        </w:tc>
        <w:tc>
          <w:tcPr>
            <w:tcW w:w="1400" w:type="dxa"/>
            <w:tcBorders>
              <w:right w:val="single" w:sz="8" w:space="0" w:color="auto"/>
            </w:tcBorders>
            <w:vAlign w:val="bottom"/>
          </w:tcPr>
          <w:p w14:paraId="0808C9C3" w14:textId="77777777" w:rsidR="00FB5BA6" w:rsidRDefault="00FB5BA6" w:rsidP="0003411C">
            <w:pPr>
              <w:jc w:val="center"/>
              <w:rPr>
                <w:sz w:val="20"/>
                <w:szCs w:val="20"/>
              </w:rPr>
            </w:pPr>
            <w:r>
              <w:rPr>
                <w:rFonts w:eastAsia="Times New Roman"/>
                <w:b/>
                <w:bCs/>
                <w:w w:val="96"/>
                <w:sz w:val="19"/>
                <w:szCs w:val="19"/>
              </w:rPr>
              <w:t>5,67</w:t>
            </w:r>
          </w:p>
        </w:tc>
      </w:tr>
      <w:tr w:rsidR="00FB5BA6" w14:paraId="4D004B62" w14:textId="77777777" w:rsidTr="0003411C">
        <w:trPr>
          <w:trHeight w:val="44"/>
        </w:trPr>
        <w:tc>
          <w:tcPr>
            <w:tcW w:w="960" w:type="dxa"/>
            <w:tcBorders>
              <w:left w:val="single" w:sz="8" w:space="0" w:color="auto"/>
              <w:bottom w:val="single" w:sz="8" w:space="0" w:color="auto"/>
            </w:tcBorders>
            <w:vAlign w:val="bottom"/>
          </w:tcPr>
          <w:p w14:paraId="764FEEF4" w14:textId="77777777" w:rsidR="00FB5BA6" w:rsidRDefault="00FB5BA6" w:rsidP="0003411C">
            <w:pPr>
              <w:rPr>
                <w:sz w:val="3"/>
                <w:szCs w:val="3"/>
              </w:rPr>
            </w:pPr>
          </w:p>
        </w:tc>
        <w:tc>
          <w:tcPr>
            <w:tcW w:w="3780" w:type="dxa"/>
            <w:tcBorders>
              <w:bottom w:val="single" w:sz="8" w:space="0" w:color="auto"/>
              <w:right w:val="single" w:sz="8" w:space="0" w:color="auto"/>
            </w:tcBorders>
            <w:vAlign w:val="bottom"/>
          </w:tcPr>
          <w:p w14:paraId="738F0A49" w14:textId="77777777" w:rsidR="00FB5BA6" w:rsidRDefault="00FB5BA6" w:rsidP="0003411C">
            <w:pPr>
              <w:rPr>
                <w:sz w:val="3"/>
                <w:szCs w:val="3"/>
              </w:rPr>
            </w:pPr>
          </w:p>
        </w:tc>
        <w:tc>
          <w:tcPr>
            <w:tcW w:w="1400" w:type="dxa"/>
            <w:tcBorders>
              <w:bottom w:val="single" w:sz="8" w:space="0" w:color="auto"/>
              <w:right w:val="single" w:sz="8" w:space="0" w:color="auto"/>
            </w:tcBorders>
            <w:vAlign w:val="bottom"/>
          </w:tcPr>
          <w:p w14:paraId="518A9844" w14:textId="77777777" w:rsidR="00FB5BA6" w:rsidRDefault="00FB5BA6" w:rsidP="0003411C">
            <w:pPr>
              <w:rPr>
                <w:sz w:val="3"/>
                <w:szCs w:val="3"/>
              </w:rPr>
            </w:pPr>
          </w:p>
        </w:tc>
      </w:tr>
    </w:tbl>
    <w:p w14:paraId="1F58D0E9" w14:textId="77777777" w:rsidR="00FB5BA6" w:rsidRDefault="00FB5BA6" w:rsidP="00FB5BA6">
      <w:pPr>
        <w:spacing w:line="56" w:lineRule="exact"/>
        <w:rPr>
          <w:sz w:val="20"/>
          <w:szCs w:val="20"/>
        </w:rPr>
      </w:pPr>
    </w:p>
    <w:p w14:paraId="2D533A1C" w14:textId="77777777" w:rsidR="00FB5BA6" w:rsidRDefault="00FB5BA6" w:rsidP="00FB5BA6">
      <w:pPr>
        <w:ind w:left="1400"/>
        <w:rPr>
          <w:sz w:val="20"/>
          <w:szCs w:val="20"/>
        </w:rPr>
      </w:pPr>
      <w:r>
        <w:rPr>
          <w:rFonts w:eastAsia="Times New Roman"/>
          <w:i/>
          <w:iCs/>
          <w:sz w:val="16"/>
          <w:szCs w:val="16"/>
        </w:rPr>
        <w:t>Source : Enedis et Cour</w:t>
      </w:r>
    </w:p>
    <w:p w14:paraId="6CE9183D" w14:textId="77777777" w:rsidR="00FB5BA6" w:rsidRDefault="00FB5BA6" w:rsidP="00FB5BA6">
      <w:pPr>
        <w:spacing w:line="187" w:lineRule="exact"/>
        <w:rPr>
          <w:sz w:val="20"/>
          <w:szCs w:val="20"/>
        </w:rPr>
      </w:pPr>
    </w:p>
    <w:p w14:paraId="4553D4B8" w14:textId="77777777" w:rsidR="00FB5BA6" w:rsidRDefault="00FB5BA6" w:rsidP="00FB5BA6">
      <w:pPr>
        <w:spacing w:line="236" w:lineRule="auto"/>
        <w:ind w:left="1400" w:right="1386" w:firstLine="566"/>
        <w:jc w:val="both"/>
        <w:rPr>
          <w:sz w:val="20"/>
          <w:szCs w:val="20"/>
        </w:rPr>
      </w:pPr>
      <w:r>
        <w:rPr>
          <w:rFonts w:eastAsia="Times New Roman"/>
          <w:sz w:val="21"/>
          <w:szCs w:val="21"/>
        </w:rPr>
        <w:t>Au total, le coût de la mise en œuvre des compteurs communicants, telle que définie par la règlementation, peut être estimé à près de 5,7 Md€ courants.</w:t>
      </w:r>
    </w:p>
    <w:p w14:paraId="3C147AB9" w14:textId="77777777" w:rsidR="00FB5BA6" w:rsidRDefault="00FB5BA6" w:rsidP="00FB5BA6">
      <w:pPr>
        <w:spacing w:line="200" w:lineRule="exact"/>
        <w:rPr>
          <w:sz w:val="20"/>
          <w:szCs w:val="20"/>
        </w:rPr>
      </w:pPr>
    </w:p>
    <w:p w14:paraId="78B4E9EA" w14:textId="77777777" w:rsidR="00FB5BA6" w:rsidRDefault="00FB5BA6" w:rsidP="00FB5BA6">
      <w:pPr>
        <w:spacing w:line="288" w:lineRule="exact"/>
        <w:rPr>
          <w:sz w:val="20"/>
          <w:szCs w:val="20"/>
        </w:rPr>
      </w:pPr>
    </w:p>
    <w:p w14:paraId="4F7EA6A0" w14:textId="77777777" w:rsidR="00FB5BA6" w:rsidRDefault="00FB5BA6" w:rsidP="00FB5BA6">
      <w:pPr>
        <w:ind w:right="-13"/>
        <w:jc w:val="center"/>
        <w:rPr>
          <w:sz w:val="20"/>
          <w:szCs w:val="20"/>
        </w:rPr>
      </w:pPr>
      <w:r>
        <w:rPr>
          <w:rFonts w:eastAsia="Times New Roman"/>
          <w:b/>
          <w:bCs/>
          <w:sz w:val="26"/>
          <w:szCs w:val="26"/>
        </w:rPr>
        <w:t>B - Des conditions avantageuses pour Enedis,</w:t>
      </w:r>
    </w:p>
    <w:p w14:paraId="48CB2243" w14:textId="77777777" w:rsidR="00FB5BA6" w:rsidRDefault="00FB5BA6" w:rsidP="00FB5BA6">
      <w:pPr>
        <w:spacing w:line="1" w:lineRule="exact"/>
        <w:rPr>
          <w:sz w:val="20"/>
          <w:szCs w:val="20"/>
        </w:rPr>
      </w:pPr>
    </w:p>
    <w:p w14:paraId="33EE51E3" w14:textId="77777777" w:rsidR="00FB5BA6" w:rsidRDefault="00FB5BA6" w:rsidP="00FB5BA6">
      <w:pPr>
        <w:ind w:right="6"/>
        <w:jc w:val="center"/>
        <w:rPr>
          <w:sz w:val="20"/>
          <w:szCs w:val="20"/>
        </w:rPr>
      </w:pPr>
      <w:proofErr w:type="gramStart"/>
      <w:r>
        <w:rPr>
          <w:rFonts w:eastAsia="Times New Roman"/>
          <w:b/>
          <w:bCs/>
          <w:sz w:val="26"/>
          <w:szCs w:val="26"/>
        </w:rPr>
        <w:t>un</w:t>
      </w:r>
      <w:proofErr w:type="gramEnd"/>
      <w:r>
        <w:rPr>
          <w:rFonts w:eastAsia="Times New Roman"/>
          <w:b/>
          <w:bCs/>
          <w:sz w:val="26"/>
          <w:szCs w:val="26"/>
        </w:rPr>
        <w:t xml:space="preserve"> financement assuré par les usagers</w:t>
      </w:r>
    </w:p>
    <w:p w14:paraId="58C83A5E" w14:textId="77777777" w:rsidR="00FB5BA6" w:rsidRDefault="00FB5BA6" w:rsidP="00FB5BA6">
      <w:pPr>
        <w:spacing w:line="353" w:lineRule="exact"/>
        <w:rPr>
          <w:sz w:val="20"/>
          <w:szCs w:val="20"/>
        </w:rPr>
      </w:pPr>
    </w:p>
    <w:p w14:paraId="14741E3D" w14:textId="77777777" w:rsidR="00FB5BA6" w:rsidRDefault="00FB5BA6" w:rsidP="00FB5BA6">
      <w:pPr>
        <w:ind w:left="1960"/>
        <w:rPr>
          <w:sz w:val="20"/>
          <w:szCs w:val="20"/>
        </w:rPr>
      </w:pPr>
      <w:r>
        <w:rPr>
          <w:rFonts w:eastAsia="Times New Roman"/>
          <w:sz w:val="21"/>
          <w:szCs w:val="21"/>
        </w:rPr>
        <w:t>Le montant facturé au consommateur par le fournisseur correspond</w:t>
      </w:r>
    </w:p>
    <w:p w14:paraId="45B8C7D3" w14:textId="77777777" w:rsidR="00FB5BA6" w:rsidRDefault="00FB5BA6" w:rsidP="00FB5BA6">
      <w:pPr>
        <w:spacing w:line="9" w:lineRule="exact"/>
        <w:rPr>
          <w:sz w:val="20"/>
          <w:szCs w:val="20"/>
        </w:rPr>
      </w:pPr>
    </w:p>
    <w:p w14:paraId="5CD6D64C" w14:textId="77777777" w:rsidR="00FB5BA6" w:rsidRDefault="00FB5BA6" w:rsidP="00FB5BA6">
      <w:pPr>
        <w:numPr>
          <w:ilvl w:val="0"/>
          <w:numId w:val="10"/>
        </w:numPr>
        <w:tabs>
          <w:tab w:val="left" w:pos="1553"/>
        </w:tabs>
        <w:spacing w:line="238" w:lineRule="auto"/>
        <w:ind w:left="1400" w:right="1386" w:hanging="5"/>
        <w:jc w:val="both"/>
        <w:rPr>
          <w:rFonts w:eastAsia="Times New Roman"/>
          <w:sz w:val="21"/>
          <w:szCs w:val="21"/>
        </w:rPr>
      </w:pPr>
      <w:proofErr w:type="gramStart"/>
      <w:r>
        <w:rPr>
          <w:rFonts w:eastAsia="Times New Roman"/>
          <w:sz w:val="21"/>
          <w:szCs w:val="21"/>
        </w:rPr>
        <w:t>la</w:t>
      </w:r>
      <w:proofErr w:type="gramEnd"/>
      <w:r>
        <w:rPr>
          <w:rFonts w:eastAsia="Times New Roman"/>
          <w:sz w:val="21"/>
          <w:szCs w:val="21"/>
        </w:rPr>
        <w:t xml:space="preserve"> fourniture d’électricité proprement dite pour 46 %, à l’acheminement pour 27 % et aux taxes pour 27 % (en moyenne en 2015). La redevance d’acheminement pour le transport, la distribution de l’électricité et le comptage de sa consommation est déterminée par les tarifs d’utilisation des réseaux publics de transport et de distribution d’électricité (TURPE), qui couvrent notamment l’amortissement des investissements. Les éventuelles dérives financières des projets des distributeurs sont ainsi finalement toujours répercutées à l’usager.</w:t>
      </w:r>
    </w:p>
    <w:p w14:paraId="38E809FC" w14:textId="77777777" w:rsidR="00FB5BA6" w:rsidRDefault="00FB5BA6" w:rsidP="00FB5BA6">
      <w:pPr>
        <w:spacing w:line="137" w:lineRule="exact"/>
        <w:rPr>
          <w:sz w:val="20"/>
          <w:szCs w:val="20"/>
        </w:rPr>
      </w:pPr>
    </w:p>
    <w:p w14:paraId="38D3E35C" w14:textId="77777777" w:rsidR="00FB5BA6" w:rsidRDefault="00FB5BA6" w:rsidP="00FB5BA6">
      <w:pPr>
        <w:spacing w:line="237" w:lineRule="auto"/>
        <w:ind w:left="1400" w:right="1386" w:firstLine="566"/>
        <w:jc w:val="both"/>
        <w:rPr>
          <w:sz w:val="20"/>
          <w:szCs w:val="20"/>
        </w:rPr>
      </w:pPr>
      <w:r>
        <w:rPr>
          <w:rFonts w:eastAsia="Times New Roman"/>
          <w:sz w:val="21"/>
          <w:szCs w:val="21"/>
        </w:rPr>
        <w:t>La CRE a donc cherché à définir pour le projet Linky des règles particulières, incitant Enedis au respect des coûts d’investissement, des délais de déploiement et des niveaux de performance. Elle a aussi cherché</w:t>
      </w:r>
    </w:p>
    <w:p w14:paraId="33C61FF5" w14:textId="77777777" w:rsidR="00FB5BA6" w:rsidRDefault="00FB5BA6" w:rsidP="00FB5BA6">
      <w:pPr>
        <w:spacing w:line="9" w:lineRule="exact"/>
        <w:rPr>
          <w:sz w:val="20"/>
          <w:szCs w:val="20"/>
        </w:rPr>
      </w:pPr>
    </w:p>
    <w:p w14:paraId="52C4C42F" w14:textId="77777777" w:rsidR="00FB5BA6" w:rsidRDefault="00FB5BA6" w:rsidP="00FB5BA6">
      <w:pPr>
        <w:numPr>
          <w:ilvl w:val="0"/>
          <w:numId w:val="11"/>
        </w:numPr>
        <w:tabs>
          <w:tab w:val="left" w:pos="1558"/>
        </w:tabs>
        <w:spacing w:line="235" w:lineRule="auto"/>
        <w:ind w:left="1400" w:right="1406" w:hanging="5"/>
        <w:rPr>
          <w:rFonts w:eastAsia="Times New Roman"/>
          <w:sz w:val="21"/>
          <w:szCs w:val="21"/>
        </w:rPr>
      </w:pPr>
      <w:proofErr w:type="gramStart"/>
      <w:r>
        <w:rPr>
          <w:rFonts w:eastAsia="Times New Roman"/>
          <w:sz w:val="21"/>
          <w:szCs w:val="21"/>
        </w:rPr>
        <w:t>ce</w:t>
      </w:r>
      <w:proofErr w:type="gramEnd"/>
      <w:r>
        <w:rPr>
          <w:rFonts w:eastAsia="Times New Roman"/>
          <w:sz w:val="21"/>
          <w:szCs w:val="21"/>
        </w:rPr>
        <w:t xml:space="preserve"> que le nouveau système ne donne pas lieu à une augmentation de la redevance d’acheminement.</w:t>
      </w:r>
    </w:p>
    <w:p w14:paraId="61A7122B" w14:textId="77777777" w:rsidR="00FB5BA6" w:rsidRDefault="00FB5BA6" w:rsidP="00FB5BA6">
      <w:pPr>
        <w:spacing w:line="200" w:lineRule="exact"/>
        <w:rPr>
          <w:sz w:val="20"/>
          <w:szCs w:val="20"/>
        </w:rPr>
      </w:pPr>
    </w:p>
    <w:p w14:paraId="6170E651" w14:textId="77777777" w:rsidR="00FB5BA6" w:rsidRDefault="00FB5BA6" w:rsidP="00FB5BA6">
      <w:pPr>
        <w:spacing w:line="200" w:lineRule="exact"/>
        <w:rPr>
          <w:sz w:val="20"/>
          <w:szCs w:val="20"/>
        </w:rPr>
      </w:pPr>
    </w:p>
    <w:p w14:paraId="4340A471" w14:textId="77777777" w:rsidR="00FB5BA6" w:rsidRDefault="00FB5BA6" w:rsidP="00FB5BA6">
      <w:pPr>
        <w:spacing w:line="200" w:lineRule="exact"/>
        <w:rPr>
          <w:sz w:val="20"/>
          <w:szCs w:val="20"/>
        </w:rPr>
      </w:pPr>
    </w:p>
    <w:p w14:paraId="21F155EC" w14:textId="77777777" w:rsidR="00FB5BA6" w:rsidRDefault="00FB5BA6" w:rsidP="00FB5BA6">
      <w:pPr>
        <w:spacing w:line="200" w:lineRule="exact"/>
        <w:rPr>
          <w:sz w:val="20"/>
          <w:szCs w:val="20"/>
        </w:rPr>
      </w:pPr>
    </w:p>
    <w:p w14:paraId="427A1487" w14:textId="77777777" w:rsidR="00FB5BA6" w:rsidRDefault="00FB5BA6" w:rsidP="00FB5BA6">
      <w:pPr>
        <w:spacing w:line="200" w:lineRule="exact"/>
        <w:rPr>
          <w:sz w:val="20"/>
          <w:szCs w:val="20"/>
        </w:rPr>
      </w:pPr>
    </w:p>
    <w:p w14:paraId="6072580E" w14:textId="77777777" w:rsidR="00FB5BA6" w:rsidRDefault="00FB5BA6" w:rsidP="00FB5BA6">
      <w:pPr>
        <w:spacing w:line="200" w:lineRule="exact"/>
        <w:rPr>
          <w:sz w:val="20"/>
          <w:szCs w:val="20"/>
        </w:rPr>
      </w:pPr>
    </w:p>
    <w:p w14:paraId="1DA90933" w14:textId="77777777" w:rsidR="00FB5BA6" w:rsidRDefault="00FB5BA6" w:rsidP="00FB5BA6">
      <w:pPr>
        <w:spacing w:line="200" w:lineRule="exact"/>
        <w:rPr>
          <w:sz w:val="20"/>
          <w:szCs w:val="20"/>
        </w:rPr>
      </w:pPr>
    </w:p>
    <w:p w14:paraId="78D2A385" w14:textId="77777777" w:rsidR="00FB5BA6" w:rsidRDefault="00FB5BA6" w:rsidP="00FB5BA6">
      <w:pPr>
        <w:spacing w:line="200" w:lineRule="exact"/>
        <w:rPr>
          <w:sz w:val="20"/>
          <w:szCs w:val="20"/>
        </w:rPr>
      </w:pPr>
    </w:p>
    <w:p w14:paraId="43D815C9" w14:textId="77777777" w:rsidR="00FB5BA6" w:rsidRDefault="00FB5BA6" w:rsidP="00FB5BA6">
      <w:pPr>
        <w:spacing w:line="200" w:lineRule="exact"/>
        <w:rPr>
          <w:sz w:val="20"/>
          <w:szCs w:val="20"/>
        </w:rPr>
      </w:pPr>
    </w:p>
    <w:p w14:paraId="53C88C39" w14:textId="77777777" w:rsidR="00FB5BA6" w:rsidRDefault="00FB5BA6" w:rsidP="00FB5BA6">
      <w:pPr>
        <w:spacing w:line="200" w:lineRule="exact"/>
        <w:rPr>
          <w:sz w:val="20"/>
          <w:szCs w:val="20"/>
        </w:rPr>
      </w:pPr>
    </w:p>
    <w:p w14:paraId="4FB83621" w14:textId="77777777" w:rsidR="00FB5BA6" w:rsidRDefault="00FB5BA6" w:rsidP="00FB5BA6">
      <w:pPr>
        <w:spacing w:line="305" w:lineRule="exact"/>
        <w:rPr>
          <w:sz w:val="20"/>
          <w:szCs w:val="20"/>
        </w:rPr>
      </w:pPr>
    </w:p>
    <w:p w14:paraId="69017E81" w14:textId="77777777" w:rsidR="00FB5BA6" w:rsidRDefault="00FB5BA6" w:rsidP="00FB5BA6">
      <w:pPr>
        <w:ind w:right="-13"/>
        <w:jc w:val="center"/>
        <w:rPr>
          <w:sz w:val="20"/>
          <w:szCs w:val="20"/>
        </w:rPr>
      </w:pPr>
      <w:r>
        <w:rPr>
          <w:rFonts w:ascii="Arial" w:eastAsia="Arial" w:hAnsi="Arial" w:cs="Arial"/>
          <w:sz w:val="16"/>
          <w:szCs w:val="16"/>
        </w:rPr>
        <w:t>Rapport public annuel 2018 – février 2018</w:t>
      </w:r>
    </w:p>
    <w:p w14:paraId="795F17FE" w14:textId="77777777" w:rsidR="00FB5BA6" w:rsidRDefault="00FB5BA6" w:rsidP="00FB5BA6">
      <w:pPr>
        <w:spacing w:line="8" w:lineRule="exact"/>
        <w:rPr>
          <w:sz w:val="20"/>
          <w:szCs w:val="20"/>
        </w:rPr>
      </w:pPr>
    </w:p>
    <w:p w14:paraId="50285226" w14:textId="77777777" w:rsidR="00FB5BA6" w:rsidRDefault="00FB5BA6" w:rsidP="00FB5BA6">
      <w:pPr>
        <w:ind w:right="-13"/>
        <w:jc w:val="center"/>
        <w:rPr>
          <w:sz w:val="20"/>
          <w:szCs w:val="20"/>
        </w:rPr>
      </w:pPr>
      <w:r>
        <w:rPr>
          <w:rFonts w:ascii="Arial" w:eastAsia="Arial" w:hAnsi="Arial" w:cs="Arial"/>
          <w:sz w:val="16"/>
          <w:szCs w:val="16"/>
        </w:rPr>
        <w:t>Cour des comptes - www.ccomptes.fr - @Courdescomptes</w:t>
      </w:r>
    </w:p>
    <w:p w14:paraId="35E464C8" w14:textId="77777777" w:rsidR="00FB5BA6" w:rsidRDefault="00FB5BA6" w:rsidP="00FB5BA6">
      <w:pPr>
        <w:sectPr w:rsidR="00FB5BA6">
          <w:pgSz w:w="11900" w:h="16841"/>
          <w:pgMar w:top="1440" w:right="1440" w:bottom="0" w:left="1440" w:header="0" w:footer="0" w:gutter="0"/>
          <w:cols w:space="720" w:equalWidth="0">
            <w:col w:w="9026"/>
          </w:cols>
        </w:sectPr>
      </w:pPr>
    </w:p>
    <w:p w14:paraId="399FDA4C" w14:textId="77777777" w:rsidR="00FB5BA6" w:rsidRDefault="00FB5BA6" w:rsidP="00FB5BA6">
      <w:pPr>
        <w:spacing w:line="20" w:lineRule="exact"/>
        <w:rPr>
          <w:sz w:val="20"/>
          <w:szCs w:val="20"/>
        </w:rPr>
      </w:pPr>
      <w:bookmarkStart w:id="2" w:name="page13"/>
      <w:bookmarkEnd w:id="2"/>
      <w:r>
        <w:rPr>
          <w:noProof/>
          <w:sz w:val="20"/>
          <w:szCs w:val="20"/>
        </w:rPr>
        <w:lastRenderedPageBreak/>
        <w:drawing>
          <wp:anchor distT="0" distB="0" distL="114300" distR="114300" simplePos="0" relativeHeight="251688960" behindDoc="1" locked="0" layoutInCell="0" allowOverlap="1" wp14:anchorId="3B904DDE" wp14:editId="2A0813E4">
            <wp:simplePos x="0" y="0"/>
            <wp:positionH relativeFrom="column">
              <wp:posOffset>867410</wp:posOffset>
            </wp:positionH>
            <wp:positionV relativeFrom="paragraph">
              <wp:posOffset>30480</wp:posOffset>
            </wp:positionV>
            <wp:extent cx="3997960" cy="63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srcRect/>
                    <a:stretch>
                      <a:fillRect/>
                    </a:stretch>
                  </pic:blipFill>
                  <pic:spPr bwMode="auto">
                    <a:xfrm>
                      <a:off x="0" y="0"/>
                      <a:ext cx="3997960" cy="6350"/>
                    </a:xfrm>
                    <a:prstGeom prst="rect">
                      <a:avLst/>
                    </a:prstGeom>
                    <a:noFill/>
                  </pic:spPr>
                </pic:pic>
              </a:graphicData>
            </a:graphic>
          </wp:anchor>
        </w:drawing>
      </w:r>
    </w:p>
    <w:p w14:paraId="448677FE" w14:textId="77777777" w:rsidR="00FB5BA6" w:rsidRDefault="00FB5BA6" w:rsidP="00FB5BA6">
      <w:pPr>
        <w:spacing w:line="154" w:lineRule="exact"/>
        <w:rPr>
          <w:sz w:val="20"/>
          <w:szCs w:val="20"/>
        </w:rPr>
      </w:pPr>
    </w:p>
    <w:p w14:paraId="75B611B4" w14:textId="77777777" w:rsidR="00FB5BA6" w:rsidRDefault="00FB5BA6" w:rsidP="00FB5BA6">
      <w:pPr>
        <w:ind w:right="-13"/>
        <w:jc w:val="center"/>
        <w:rPr>
          <w:sz w:val="20"/>
          <w:szCs w:val="20"/>
        </w:rPr>
      </w:pPr>
      <w:r>
        <w:rPr>
          <w:rFonts w:eastAsia="Times New Roman"/>
          <w:b/>
          <w:bCs/>
        </w:rPr>
        <w:t>1 - Un différé tarifaire au coût excessif</w:t>
      </w:r>
    </w:p>
    <w:p w14:paraId="64D21CB3" w14:textId="77777777" w:rsidR="00FB5BA6" w:rsidRDefault="00FB5BA6" w:rsidP="00FB5BA6">
      <w:pPr>
        <w:spacing w:line="367" w:lineRule="exact"/>
        <w:rPr>
          <w:sz w:val="20"/>
          <w:szCs w:val="20"/>
        </w:rPr>
      </w:pPr>
    </w:p>
    <w:p w14:paraId="6BA3F809" w14:textId="77777777" w:rsidR="00FB5BA6" w:rsidRDefault="00FB5BA6" w:rsidP="00FB5BA6">
      <w:pPr>
        <w:spacing w:line="235" w:lineRule="auto"/>
        <w:ind w:left="1400" w:right="1386" w:firstLine="566"/>
        <w:jc w:val="both"/>
        <w:rPr>
          <w:sz w:val="20"/>
          <w:szCs w:val="20"/>
        </w:rPr>
      </w:pPr>
      <w:r>
        <w:rPr>
          <w:rFonts w:eastAsia="Times New Roman"/>
          <w:sz w:val="21"/>
          <w:szCs w:val="21"/>
        </w:rPr>
        <w:t>Pour que l’installation des nouveaux compteurs ne se traduise pas par une augmentation immédiate de la redevance se répercutant sur la facture d’électricité des consommateurs dès 2014, la CRE a défini un mécanisme de différé tarifaire, dont l’objectif est de prendre en compte, pour la détermination du tarif de l’électricité au consommateur, le financement de l’investissement seulement lorsque Enedis sera en mesure de réaliser les gains attendus (réduction des pertes, télé-relève, interventions à distance), c'est-à-dire lorsque 90 % des compteurs Linky seront posés</w:t>
      </w:r>
      <w:r>
        <w:rPr>
          <w:rFonts w:eastAsia="Times New Roman"/>
          <w:sz w:val="27"/>
          <w:szCs w:val="27"/>
          <w:vertAlign w:val="superscript"/>
        </w:rPr>
        <w:t>225</w:t>
      </w:r>
      <w:r>
        <w:rPr>
          <w:rFonts w:eastAsia="Times New Roman"/>
          <w:sz w:val="21"/>
          <w:szCs w:val="21"/>
        </w:rPr>
        <w:t>. Ce mécanisme neutralise, jusqu’en 2021, l’écart entre d’une part le tarif qui résulterait de l’application normale des règles de calcul de la redevance, qui prendrait en compte le programme Linky, et d’autre part le tarif qui aurait été appliqué si le programme n’avait pas été réalisé.</w:t>
      </w:r>
      <w:r w:rsidRPr="00F37B24">
        <w:rPr>
          <w:rFonts w:eastAsia="Times New Roman"/>
          <w:b/>
          <w:bCs/>
          <w:sz w:val="21"/>
          <w:szCs w:val="21"/>
        </w:rPr>
        <w:t xml:space="preserve"> Ce différé constitue donc une avance faite par Enedis, remboursée par les consommateurs à partir de 2021. Le taux d’intérêt de cette avance est de 4,6 % et les intérêts s’élèvent à 785 M€ au total sur la période 2015-2030, soit en moyenne 49 M€ par an.</w:t>
      </w:r>
    </w:p>
    <w:p w14:paraId="0C6F5886" w14:textId="77777777" w:rsidR="00FB5BA6" w:rsidRDefault="00FB5BA6" w:rsidP="00FB5BA6">
      <w:pPr>
        <w:spacing w:line="134" w:lineRule="exact"/>
        <w:rPr>
          <w:sz w:val="20"/>
          <w:szCs w:val="20"/>
        </w:rPr>
      </w:pPr>
    </w:p>
    <w:p w14:paraId="26A3CBD9" w14:textId="77777777" w:rsidR="00FB5BA6" w:rsidRPr="00F37B24" w:rsidRDefault="00FB5BA6" w:rsidP="00FB5BA6">
      <w:pPr>
        <w:spacing w:line="239" w:lineRule="auto"/>
        <w:ind w:left="1400" w:right="1386" w:firstLine="566"/>
        <w:jc w:val="both"/>
        <w:rPr>
          <w:b/>
          <w:bCs/>
          <w:sz w:val="20"/>
          <w:szCs w:val="20"/>
        </w:rPr>
      </w:pPr>
      <w:r>
        <w:rPr>
          <w:rFonts w:eastAsia="Times New Roman"/>
          <w:sz w:val="21"/>
          <w:szCs w:val="21"/>
        </w:rPr>
        <w:t xml:space="preserve">Le financement du différé est réalisé, pour la première tranche (3 millions de compteurs), sur fonds propres d’Enedis et, pour la deuxième tranche (31 millions de compteurs), notamment par un prêt intragroupe au taux de 0,77 % adossé à un financement de la Banque européenne d’investissement (BEI). Enedis bénéficie donc d’un différentiel de rémunération de 3,83 %, pour la part financée par le prêt intragroupe. En faisant l’hypothèse que 10 % du montant total du différé est financé sur fonds propres et que le complément est financé par emprunt au taux de 0,77 %, </w:t>
      </w:r>
      <w:r w:rsidRPr="00F37B24">
        <w:rPr>
          <w:rFonts w:eastAsia="Times New Roman"/>
          <w:b/>
          <w:bCs/>
          <w:sz w:val="21"/>
          <w:szCs w:val="21"/>
        </w:rPr>
        <w:t>le coût moyen du différé serait pour Enedis de 1,8 %, soit une marge de 2,8 % correspondant à un surcoût pour les usagers de 506 M€ en euros courants et de 464 M€</w:t>
      </w:r>
      <w:r w:rsidRPr="00F37B24">
        <w:rPr>
          <w:rFonts w:eastAsia="Times New Roman"/>
          <w:b/>
          <w:bCs/>
          <w:sz w:val="13"/>
          <w:szCs w:val="13"/>
        </w:rPr>
        <w:t>2014</w:t>
      </w:r>
      <w:r w:rsidRPr="00F37B24">
        <w:rPr>
          <w:rFonts w:eastAsia="Times New Roman"/>
          <w:b/>
          <w:bCs/>
          <w:sz w:val="21"/>
          <w:szCs w:val="21"/>
        </w:rPr>
        <w:t xml:space="preserve"> en euros constants sur la période 2014-2031.</w:t>
      </w:r>
    </w:p>
    <w:p w14:paraId="74CFFC06" w14:textId="77777777" w:rsidR="00FB5BA6" w:rsidRDefault="00FB5BA6" w:rsidP="00FB5BA6">
      <w:pPr>
        <w:spacing w:line="20" w:lineRule="exact"/>
        <w:rPr>
          <w:sz w:val="20"/>
          <w:szCs w:val="20"/>
        </w:rPr>
      </w:pPr>
      <w:r>
        <w:rPr>
          <w:noProof/>
          <w:sz w:val="20"/>
          <w:szCs w:val="20"/>
        </w:rPr>
        <mc:AlternateContent>
          <mc:Choice Requires="wps">
            <w:drawing>
              <wp:anchor distT="0" distB="0" distL="114300" distR="114300" simplePos="0" relativeHeight="251689984" behindDoc="1" locked="0" layoutInCell="0" allowOverlap="1" wp14:anchorId="12EFEE4B" wp14:editId="19956C45">
                <wp:simplePos x="0" y="0"/>
                <wp:positionH relativeFrom="column">
                  <wp:posOffset>885190</wp:posOffset>
                </wp:positionH>
                <wp:positionV relativeFrom="paragraph">
                  <wp:posOffset>1405255</wp:posOffset>
                </wp:positionV>
                <wp:extent cx="182943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9C3F27" id="Shape 31"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69.7pt,110.65pt" to="213.75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" o:allowincell="f" filled="t" strokeweight=".16931mm">
                <v:stroke joinstyle="miter"/>
                <o:lock v:ext="edit" shapetype="f"/>
              </v:line>
            </w:pict>
          </mc:Fallback>
        </mc:AlternateContent>
      </w:r>
    </w:p>
    <w:p w14:paraId="6A047B39" w14:textId="77777777" w:rsidR="00FB5BA6" w:rsidRDefault="00FB5BA6" w:rsidP="00FB5BA6">
      <w:pPr>
        <w:spacing w:line="200" w:lineRule="exact"/>
        <w:rPr>
          <w:sz w:val="20"/>
          <w:szCs w:val="20"/>
        </w:rPr>
      </w:pPr>
    </w:p>
    <w:p w14:paraId="48F81C16" w14:textId="77777777" w:rsidR="00FB5BA6" w:rsidRDefault="00FB5BA6" w:rsidP="00FB5BA6">
      <w:pPr>
        <w:spacing w:line="200" w:lineRule="exact"/>
        <w:rPr>
          <w:sz w:val="20"/>
          <w:szCs w:val="20"/>
        </w:rPr>
      </w:pPr>
    </w:p>
    <w:p w14:paraId="715A64C9" w14:textId="77777777" w:rsidR="00FB5BA6" w:rsidRDefault="00FB5BA6" w:rsidP="00FB5BA6">
      <w:pPr>
        <w:spacing w:line="200" w:lineRule="exact"/>
        <w:rPr>
          <w:sz w:val="20"/>
          <w:szCs w:val="20"/>
        </w:rPr>
      </w:pPr>
    </w:p>
    <w:p w14:paraId="33D96955" w14:textId="77777777" w:rsidR="00FB5BA6" w:rsidRDefault="00FB5BA6" w:rsidP="00FB5BA6">
      <w:pPr>
        <w:spacing w:line="200" w:lineRule="exact"/>
        <w:rPr>
          <w:sz w:val="20"/>
          <w:szCs w:val="20"/>
        </w:rPr>
      </w:pPr>
    </w:p>
    <w:p w14:paraId="36AAB487" w14:textId="77777777" w:rsidR="00FB5BA6" w:rsidRDefault="00FB5BA6" w:rsidP="00FB5BA6">
      <w:pPr>
        <w:spacing w:line="200" w:lineRule="exact"/>
        <w:rPr>
          <w:sz w:val="20"/>
          <w:szCs w:val="20"/>
        </w:rPr>
      </w:pPr>
    </w:p>
    <w:p w14:paraId="4DDC5FEE" w14:textId="77777777" w:rsidR="00FB5BA6" w:rsidRDefault="00FB5BA6" w:rsidP="00FB5BA6">
      <w:pPr>
        <w:spacing w:line="200" w:lineRule="exact"/>
        <w:rPr>
          <w:sz w:val="20"/>
          <w:szCs w:val="20"/>
        </w:rPr>
      </w:pPr>
    </w:p>
    <w:p w14:paraId="1A5912D7" w14:textId="77777777" w:rsidR="00FB5BA6" w:rsidRDefault="00FB5BA6" w:rsidP="00FB5BA6">
      <w:pPr>
        <w:spacing w:line="200" w:lineRule="exact"/>
        <w:rPr>
          <w:sz w:val="20"/>
          <w:szCs w:val="20"/>
        </w:rPr>
      </w:pPr>
    </w:p>
    <w:p w14:paraId="663492BA" w14:textId="77777777" w:rsidR="00FB5BA6" w:rsidRDefault="00FB5BA6" w:rsidP="00FB5BA6">
      <w:pPr>
        <w:spacing w:line="200" w:lineRule="exact"/>
        <w:rPr>
          <w:sz w:val="20"/>
          <w:szCs w:val="20"/>
        </w:rPr>
      </w:pPr>
    </w:p>
    <w:p w14:paraId="09EDD47F" w14:textId="77777777" w:rsidR="00FB5BA6" w:rsidRDefault="00FB5BA6" w:rsidP="00FB5BA6">
      <w:pPr>
        <w:spacing w:line="200" w:lineRule="exact"/>
        <w:rPr>
          <w:sz w:val="20"/>
          <w:szCs w:val="20"/>
        </w:rPr>
      </w:pPr>
    </w:p>
    <w:p w14:paraId="03FDC756" w14:textId="77777777" w:rsidR="00FB5BA6" w:rsidRDefault="00FB5BA6" w:rsidP="00FB5BA6">
      <w:pPr>
        <w:spacing w:line="200" w:lineRule="exact"/>
        <w:rPr>
          <w:sz w:val="20"/>
          <w:szCs w:val="20"/>
        </w:rPr>
      </w:pPr>
    </w:p>
    <w:p w14:paraId="39D4CE63" w14:textId="77777777" w:rsidR="00FB5BA6" w:rsidRDefault="00FB5BA6" w:rsidP="00FB5BA6">
      <w:pPr>
        <w:spacing w:line="291" w:lineRule="exact"/>
        <w:rPr>
          <w:sz w:val="20"/>
          <w:szCs w:val="20"/>
        </w:rPr>
      </w:pPr>
    </w:p>
    <w:p w14:paraId="33FE82E2" w14:textId="77777777" w:rsidR="00FB5BA6" w:rsidRDefault="00FB5BA6" w:rsidP="00FB5BA6">
      <w:pPr>
        <w:spacing w:line="214" w:lineRule="auto"/>
        <w:ind w:left="1400" w:right="1386"/>
        <w:jc w:val="both"/>
        <w:rPr>
          <w:sz w:val="20"/>
          <w:szCs w:val="20"/>
        </w:rPr>
      </w:pPr>
      <w:r>
        <w:rPr>
          <w:rFonts w:eastAsia="Times New Roman"/>
          <w:sz w:val="24"/>
          <w:szCs w:val="24"/>
          <w:vertAlign w:val="superscript"/>
        </w:rPr>
        <w:t>225</w:t>
      </w:r>
      <w:r>
        <w:rPr>
          <w:rFonts w:eastAsia="Times New Roman"/>
          <w:sz w:val="18"/>
          <w:szCs w:val="18"/>
        </w:rPr>
        <w:t xml:space="preserve"> M. Éric Besson, ministre chargé de l’industrie, de l’énergie et de l’économie numérique, avait annoncé le 28 septembre 2011 que le déploiement des compteurs communicants serait gratuit pour le consommateur.</w:t>
      </w:r>
    </w:p>
    <w:p w14:paraId="45EFE68D" w14:textId="77777777" w:rsidR="00FB5BA6" w:rsidRDefault="00FB5BA6" w:rsidP="00FB5BA6">
      <w:pPr>
        <w:spacing w:line="200" w:lineRule="exact"/>
        <w:rPr>
          <w:sz w:val="20"/>
          <w:szCs w:val="20"/>
        </w:rPr>
      </w:pPr>
    </w:p>
    <w:p w14:paraId="1F6C8FE2" w14:textId="77777777" w:rsidR="00FB5BA6" w:rsidRDefault="00FB5BA6" w:rsidP="00FB5BA6">
      <w:pPr>
        <w:spacing w:line="200" w:lineRule="exact"/>
        <w:rPr>
          <w:sz w:val="20"/>
          <w:szCs w:val="20"/>
        </w:rPr>
      </w:pPr>
    </w:p>
    <w:p w14:paraId="22D890B8" w14:textId="77777777" w:rsidR="00FB5BA6" w:rsidRDefault="00FB5BA6" w:rsidP="00FB5BA6">
      <w:pPr>
        <w:spacing w:line="200" w:lineRule="exact"/>
        <w:rPr>
          <w:sz w:val="20"/>
          <w:szCs w:val="20"/>
        </w:rPr>
      </w:pPr>
    </w:p>
    <w:p w14:paraId="69349E7C" w14:textId="77777777" w:rsidR="00FB5BA6" w:rsidRDefault="00FB5BA6" w:rsidP="00FB5BA6">
      <w:pPr>
        <w:spacing w:line="200" w:lineRule="exact"/>
        <w:rPr>
          <w:sz w:val="20"/>
          <w:szCs w:val="20"/>
        </w:rPr>
      </w:pPr>
    </w:p>
    <w:p w14:paraId="22B0EB5E" w14:textId="77777777" w:rsidR="00FB5BA6" w:rsidRDefault="00FB5BA6" w:rsidP="00FB5BA6">
      <w:pPr>
        <w:spacing w:line="200" w:lineRule="exact"/>
        <w:rPr>
          <w:sz w:val="20"/>
          <w:szCs w:val="20"/>
        </w:rPr>
      </w:pPr>
    </w:p>
    <w:p w14:paraId="78423356" w14:textId="77777777" w:rsidR="00FB5BA6" w:rsidRDefault="00FB5BA6" w:rsidP="00FB5BA6">
      <w:pPr>
        <w:spacing w:line="200" w:lineRule="exact"/>
        <w:rPr>
          <w:sz w:val="20"/>
          <w:szCs w:val="20"/>
        </w:rPr>
      </w:pPr>
    </w:p>
    <w:p w14:paraId="1EB8614E" w14:textId="77777777" w:rsidR="00FB5BA6" w:rsidRDefault="00FB5BA6" w:rsidP="00FB5BA6">
      <w:pPr>
        <w:spacing w:line="200" w:lineRule="exact"/>
        <w:rPr>
          <w:sz w:val="20"/>
          <w:szCs w:val="20"/>
        </w:rPr>
      </w:pPr>
    </w:p>
    <w:p w14:paraId="2279B8F1" w14:textId="77777777" w:rsidR="00FB5BA6" w:rsidRDefault="00FB5BA6" w:rsidP="00FB5BA6">
      <w:pPr>
        <w:spacing w:line="200" w:lineRule="exact"/>
        <w:rPr>
          <w:sz w:val="20"/>
          <w:szCs w:val="20"/>
        </w:rPr>
      </w:pPr>
    </w:p>
    <w:p w14:paraId="32B8B398" w14:textId="77777777" w:rsidR="00FB5BA6" w:rsidRDefault="00FB5BA6" w:rsidP="00FB5BA6">
      <w:pPr>
        <w:spacing w:line="200" w:lineRule="exact"/>
        <w:rPr>
          <w:sz w:val="20"/>
          <w:szCs w:val="20"/>
        </w:rPr>
      </w:pPr>
    </w:p>
    <w:p w14:paraId="72CE90FA" w14:textId="77777777" w:rsidR="00FB5BA6" w:rsidRDefault="00FB5BA6" w:rsidP="00FB5BA6">
      <w:pPr>
        <w:spacing w:line="336" w:lineRule="exact"/>
        <w:rPr>
          <w:sz w:val="20"/>
          <w:szCs w:val="20"/>
        </w:rPr>
      </w:pPr>
    </w:p>
    <w:p w14:paraId="799CC0F3" w14:textId="77777777" w:rsidR="00FB5BA6" w:rsidRDefault="00FB5BA6" w:rsidP="00FB5BA6">
      <w:pPr>
        <w:ind w:right="-13"/>
        <w:jc w:val="center"/>
        <w:rPr>
          <w:sz w:val="20"/>
          <w:szCs w:val="20"/>
        </w:rPr>
      </w:pPr>
      <w:r>
        <w:rPr>
          <w:rFonts w:ascii="Arial" w:eastAsia="Arial" w:hAnsi="Arial" w:cs="Arial"/>
          <w:sz w:val="16"/>
          <w:szCs w:val="16"/>
        </w:rPr>
        <w:t>Rapport public annuel 2018 – février 2018</w:t>
      </w:r>
    </w:p>
    <w:p w14:paraId="0DA32D7B" w14:textId="77777777" w:rsidR="00FB5BA6" w:rsidRDefault="00FB5BA6" w:rsidP="00FB5BA6">
      <w:pPr>
        <w:spacing w:line="8" w:lineRule="exact"/>
        <w:rPr>
          <w:sz w:val="20"/>
          <w:szCs w:val="20"/>
        </w:rPr>
      </w:pPr>
    </w:p>
    <w:p w14:paraId="48147D42" w14:textId="77777777" w:rsidR="00FB5BA6" w:rsidRDefault="00FB5BA6" w:rsidP="00FB5BA6">
      <w:pPr>
        <w:ind w:right="-13"/>
        <w:jc w:val="center"/>
        <w:rPr>
          <w:sz w:val="20"/>
          <w:szCs w:val="20"/>
        </w:rPr>
      </w:pPr>
      <w:r>
        <w:rPr>
          <w:rFonts w:ascii="Arial" w:eastAsia="Arial" w:hAnsi="Arial" w:cs="Arial"/>
          <w:sz w:val="16"/>
          <w:szCs w:val="16"/>
        </w:rPr>
        <w:t>Cour des comptes - www.ccomptes.fr - @Courdescomptes</w:t>
      </w:r>
    </w:p>
    <w:p w14:paraId="551621F2" w14:textId="77777777" w:rsidR="00FB5BA6" w:rsidRDefault="00FB5BA6" w:rsidP="00FB5BA6">
      <w:pPr>
        <w:sectPr w:rsidR="00FB5BA6">
          <w:pgSz w:w="11900" w:h="16841"/>
          <w:pgMar w:top="1440" w:right="1440" w:bottom="0" w:left="1440" w:header="0" w:footer="0" w:gutter="0"/>
          <w:cols w:space="720" w:equalWidth="0">
            <w:col w:w="9026"/>
          </w:cols>
        </w:sectPr>
      </w:pPr>
    </w:p>
    <w:p w14:paraId="3FCC2D15" w14:textId="77777777" w:rsidR="00FB5BA6" w:rsidRDefault="00FB5BA6" w:rsidP="00FB5BA6">
      <w:pPr>
        <w:tabs>
          <w:tab w:val="left" w:pos="6060"/>
        </w:tabs>
        <w:ind w:left="1400"/>
        <w:rPr>
          <w:sz w:val="20"/>
          <w:szCs w:val="20"/>
        </w:rPr>
      </w:pPr>
      <w:bookmarkStart w:id="3" w:name="page14"/>
      <w:bookmarkEnd w:id="3"/>
      <w:r>
        <w:rPr>
          <w:rFonts w:eastAsia="Times New Roman"/>
          <w:sz w:val="15"/>
          <w:szCs w:val="15"/>
        </w:rPr>
        <w:lastRenderedPageBreak/>
        <w:t>256</w:t>
      </w:r>
      <w:r>
        <w:rPr>
          <w:sz w:val="20"/>
          <w:szCs w:val="20"/>
        </w:rPr>
        <w:tab/>
      </w:r>
      <w:r>
        <w:rPr>
          <w:rFonts w:eastAsia="Times New Roman"/>
          <w:sz w:val="15"/>
          <w:szCs w:val="15"/>
        </w:rPr>
        <w:t>COUR DES COMPTES</w:t>
      </w:r>
    </w:p>
    <w:p w14:paraId="16EA55C6" w14:textId="77777777" w:rsidR="00FB5BA6" w:rsidRDefault="00FB5BA6" w:rsidP="00FB5BA6">
      <w:pPr>
        <w:spacing w:line="20" w:lineRule="exact"/>
        <w:rPr>
          <w:sz w:val="20"/>
          <w:szCs w:val="20"/>
        </w:rPr>
      </w:pPr>
      <w:r>
        <w:rPr>
          <w:noProof/>
          <w:sz w:val="20"/>
          <w:szCs w:val="20"/>
        </w:rPr>
        <w:drawing>
          <wp:anchor distT="0" distB="0" distL="114300" distR="114300" simplePos="0" relativeHeight="251691008" behindDoc="1" locked="0" layoutInCell="0" allowOverlap="1" wp14:anchorId="14674F50" wp14:editId="5A5A6509">
            <wp:simplePos x="0" y="0"/>
            <wp:positionH relativeFrom="column">
              <wp:posOffset>867410</wp:posOffset>
            </wp:positionH>
            <wp:positionV relativeFrom="paragraph">
              <wp:posOffset>31115</wp:posOffset>
            </wp:positionV>
            <wp:extent cx="3997960" cy="6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srcRect/>
                    <a:stretch>
                      <a:fillRect/>
                    </a:stretch>
                  </pic:blipFill>
                  <pic:spPr bwMode="auto">
                    <a:xfrm>
                      <a:off x="0" y="0"/>
                      <a:ext cx="3997960" cy="6350"/>
                    </a:xfrm>
                    <a:prstGeom prst="rect">
                      <a:avLst/>
                    </a:prstGeom>
                    <a:noFill/>
                  </pic:spPr>
                </pic:pic>
              </a:graphicData>
            </a:graphic>
          </wp:anchor>
        </w:drawing>
      </w:r>
    </w:p>
    <w:p w14:paraId="36E949EC" w14:textId="77777777" w:rsidR="00FB5BA6" w:rsidRDefault="00FB5BA6" w:rsidP="00FB5BA6">
      <w:pPr>
        <w:spacing w:line="200" w:lineRule="exact"/>
        <w:rPr>
          <w:sz w:val="20"/>
          <w:szCs w:val="20"/>
        </w:rPr>
      </w:pPr>
    </w:p>
    <w:p w14:paraId="2EC5B708" w14:textId="77777777" w:rsidR="00FB5BA6" w:rsidRDefault="00FB5BA6" w:rsidP="00FB5BA6">
      <w:pPr>
        <w:spacing w:line="270" w:lineRule="exact"/>
        <w:rPr>
          <w:sz w:val="20"/>
          <w:szCs w:val="20"/>
        </w:rPr>
      </w:pPr>
    </w:p>
    <w:p w14:paraId="720B6EA4" w14:textId="77777777" w:rsidR="00FB5BA6" w:rsidRDefault="00FB5BA6" w:rsidP="00FB5BA6">
      <w:pPr>
        <w:ind w:right="-13"/>
        <w:jc w:val="center"/>
        <w:rPr>
          <w:sz w:val="20"/>
          <w:szCs w:val="20"/>
        </w:rPr>
      </w:pPr>
      <w:r>
        <w:rPr>
          <w:rFonts w:eastAsia="Times New Roman"/>
          <w:b/>
          <w:bCs/>
          <w:sz w:val="21"/>
          <w:szCs w:val="21"/>
        </w:rPr>
        <w:t>Graphique n° 1 : incidence du différé tarifaire sur le tarif moyen</w:t>
      </w:r>
    </w:p>
    <w:p w14:paraId="3BA08762" w14:textId="77777777" w:rsidR="00FB5BA6" w:rsidRDefault="00FB5BA6" w:rsidP="00FB5BA6">
      <w:pPr>
        <w:spacing w:line="1" w:lineRule="exact"/>
        <w:rPr>
          <w:sz w:val="20"/>
          <w:szCs w:val="20"/>
        </w:rPr>
      </w:pPr>
    </w:p>
    <w:p w14:paraId="1876938B" w14:textId="77777777" w:rsidR="00FB5BA6" w:rsidRDefault="00FB5BA6" w:rsidP="00FB5BA6">
      <w:pPr>
        <w:ind w:right="-13"/>
        <w:jc w:val="center"/>
        <w:rPr>
          <w:sz w:val="20"/>
          <w:szCs w:val="20"/>
        </w:rPr>
      </w:pPr>
      <w:proofErr w:type="gramStart"/>
      <w:r>
        <w:rPr>
          <w:rFonts w:eastAsia="Times New Roman"/>
          <w:b/>
          <w:bCs/>
          <w:sz w:val="21"/>
          <w:szCs w:val="21"/>
        </w:rPr>
        <w:t>pour</w:t>
      </w:r>
      <w:proofErr w:type="gramEnd"/>
      <w:r>
        <w:rPr>
          <w:rFonts w:eastAsia="Times New Roman"/>
          <w:b/>
          <w:bCs/>
          <w:sz w:val="21"/>
          <w:szCs w:val="21"/>
        </w:rPr>
        <w:t xml:space="preserve"> le comptage* (€ par an et par compteur)</w:t>
      </w:r>
    </w:p>
    <w:p w14:paraId="18070647" w14:textId="77777777" w:rsidR="00FB5BA6" w:rsidRDefault="00FB5BA6" w:rsidP="00FB5BA6">
      <w:pPr>
        <w:spacing w:line="20" w:lineRule="exact"/>
        <w:rPr>
          <w:sz w:val="20"/>
          <w:szCs w:val="20"/>
        </w:rPr>
      </w:pPr>
      <w:r>
        <w:rPr>
          <w:noProof/>
          <w:sz w:val="20"/>
          <w:szCs w:val="20"/>
        </w:rPr>
        <w:drawing>
          <wp:anchor distT="0" distB="0" distL="114300" distR="114300" simplePos="0" relativeHeight="251692032" behindDoc="1" locked="0" layoutInCell="0" allowOverlap="1" wp14:anchorId="58E2F438" wp14:editId="15BFDC0B">
            <wp:simplePos x="0" y="0"/>
            <wp:positionH relativeFrom="column">
              <wp:posOffset>885825</wp:posOffset>
            </wp:positionH>
            <wp:positionV relativeFrom="paragraph">
              <wp:posOffset>127635</wp:posOffset>
            </wp:positionV>
            <wp:extent cx="3960495" cy="20523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srcRect/>
                    <a:stretch>
                      <a:fillRect/>
                    </a:stretch>
                  </pic:blipFill>
                  <pic:spPr bwMode="auto">
                    <a:xfrm>
                      <a:off x="0" y="0"/>
                      <a:ext cx="3960495" cy="2052320"/>
                    </a:xfrm>
                    <a:prstGeom prst="rect">
                      <a:avLst/>
                    </a:prstGeom>
                    <a:noFill/>
                  </pic:spPr>
                </pic:pic>
              </a:graphicData>
            </a:graphic>
          </wp:anchor>
        </w:drawing>
      </w:r>
    </w:p>
    <w:p w14:paraId="60888FE8" w14:textId="77777777" w:rsidR="00FB5BA6" w:rsidRDefault="00FB5BA6" w:rsidP="00FB5BA6">
      <w:pPr>
        <w:spacing w:line="200" w:lineRule="exact"/>
        <w:rPr>
          <w:sz w:val="20"/>
          <w:szCs w:val="20"/>
        </w:rPr>
      </w:pPr>
    </w:p>
    <w:p w14:paraId="7205A75F" w14:textId="77777777" w:rsidR="00FB5BA6" w:rsidRDefault="00FB5BA6" w:rsidP="00FB5BA6">
      <w:pPr>
        <w:spacing w:line="200" w:lineRule="exact"/>
        <w:rPr>
          <w:sz w:val="20"/>
          <w:szCs w:val="20"/>
        </w:rPr>
      </w:pPr>
    </w:p>
    <w:p w14:paraId="5DF2DD86" w14:textId="77777777" w:rsidR="00FB5BA6" w:rsidRDefault="00FB5BA6" w:rsidP="00FB5BA6">
      <w:pPr>
        <w:spacing w:line="200" w:lineRule="exact"/>
        <w:rPr>
          <w:sz w:val="20"/>
          <w:szCs w:val="20"/>
        </w:rPr>
      </w:pPr>
    </w:p>
    <w:p w14:paraId="49293AD1" w14:textId="77777777" w:rsidR="00FB5BA6" w:rsidRDefault="00FB5BA6" w:rsidP="00FB5BA6">
      <w:pPr>
        <w:spacing w:line="200" w:lineRule="exact"/>
        <w:rPr>
          <w:sz w:val="20"/>
          <w:szCs w:val="20"/>
        </w:rPr>
      </w:pPr>
    </w:p>
    <w:p w14:paraId="4DC2354C" w14:textId="77777777" w:rsidR="00FB5BA6" w:rsidRDefault="00FB5BA6" w:rsidP="00FB5BA6">
      <w:pPr>
        <w:spacing w:line="200" w:lineRule="exact"/>
        <w:rPr>
          <w:sz w:val="20"/>
          <w:szCs w:val="20"/>
        </w:rPr>
      </w:pPr>
    </w:p>
    <w:p w14:paraId="2E83887D" w14:textId="77777777" w:rsidR="00FB5BA6" w:rsidRDefault="00FB5BA6" w:rsidP="00FB5BA6">
      <w:pPr>
        <w:spacing w:line="200" w:lineRule="exact"/>
        <w:rPr>
          <w:sz w:val="20"/>
          <w:szCs w:val="20"/>
        </w:rPr>
      </w:pPr>
    </w:p>
    <w:p w14:paraId="07180220" w14:textId="77777777" w:rsidR="00FB5BA6" w:rsidRDefault="00FB5BA6" w:rsidP="00FB5BA6">
      <w:pPr>
        <w:spacing w:line="200" w:lineRule="exact"/>
        <w:rPr>
          <w:sz w:val="20"/>
          <w:szCs w:val="20"/>
        </w:rPr>
      </w:pPr>
    </w:p>
    <w:p w14:paraId="3F162984" w14:textId="77777777" w:rsidR="00FB5BA6" w:rsidRDefault="00FB5BA6" w:rsidP="00FB5BA6">
      <w:pPr>
        <w:spacing w:line="200" w:lineRule="exact"/>
        <w:rPr>
          <w:sz w:val="20"/>
          <w:szCs w:val="20"/>
        </w:rPr>
      </w:pPr>
    </w:p>
    <w:p w14:paraId="50438704" w14:textId="77777777" w:rsidR="00FB5BA6" w:rsidRDefault="00FB5BA6" w:rsidP="00FB5BA6">
      <w:pPr>
        <w:spacing w:line="200" w:lineRule="exact"/>
        <w:rPr>
          <w:sz w:val="20"/>
          <w:szCs w:val="20"/>
        </w:rPr>
      </w:pPr>
    </w:p>
    <w:p w14:paraId="499F8B08" w14:textId="77777777" w:rsidR="00FB5BA6" w:rsidRDefault="00FB5BA6" w:rsidP="00FB5BA6">
      <w:pPr>
        <w:spacing w:line="200" w:lineRule="exact"/>
        <w:rPr>
          <w:sz w:val="20"/>
          <w:szCs w:val="20"/>
        </w:rPr>
      </w:pPr>
    </w:p>
    <w:p w14:paraId="08A57EF0" w14:textId="77777777" w:rsidR="00FB5BA6" w:rsidRDefault="00FB5BA6" w:rsidP="00FB5BA6">
      <w:pPr>
        <w:spacing w:line="200" w:lineRule="exact"/>
        <w:rPr>
          <w:sz w:val="20"/>
          <w:szCs w:val="20"/>
        </w:rPr>
      </w:pPr>
    </w:p>
    <w:p w14:paraId="5003662C" w14:textId="77777777" w:rsidR="00FB5BA6" w:rsidRDefault="00FB5BA6" w:rsidP="00FB5BA6">
      <w:pPr>
        <w:spacing w:line="200" w:lineRule="exact"/>
        <w:rPr>
          <w:sz w:val="20"/>
          <w:szCs w:val="20"/>
        </w:rPr>
      </w:pPr>
    </w:p>
    <w:p w14:paraId="2D738D89" w14:textId="77777777" w:rsidR="00FB5BA6" w:rsidRDefault="00FB5BA6" w:rsidP="00FB5BA6">
      <w:pPr>
        <w:spacing w:line="200" w:lineRule="exact"/>
        <w:rPr>
          <w:sz w:val="20"/>
          <w:szCs w:val="20"/>
        </w:rPr>
      </w:pPr>
    </w:p>
    <w:p w14:paraId="45099BA8" w14:textId="77777777" w:rsidR="00FB5BA6" w:rsidRDefault="00FB5BA6" w:rsidP="00FB5BA6">
      <w:pPr>
        <w:spacing w:line="200" w:lineRule="exact"/>
        <w:rPr>
          <w:sz w:val="20"/>
          <w:szCs w:val="20"/>
        </w:rPr>
      </w:pPr>
    </w:p>
    <w:p w14:paraId="1CA56289" w14:textId="77777777" w:rsidR="00FB5BA6" w:rsidRDefault="00FB5BA6" w:rsidP="00FB5BA6">
      <w:pPr>
        <w:spacing w:line="200" w:lineRule="exact"/>
        <w:rPr>
          <w:sz w:val="20"/>
          <w:szCs w:val="20"/>
        </w:rPr>
      </w:pPr>
    </w:p>
    <w:p w14:paraId="0FC1E7D5" w14:textId="77777777" w:rsidR="00FB5BA6" w:rsidRDefault="00FB5BA6" w:rsidP="00FB5BA6">
      <w:pPr>
        <w:spacing w:line="200" w:lineRule="exact"/>
        <w:rPr>
          <w:sz w:val="20"/>
          <w:szCs w:val="20"/>
        </w:rPr>
      </w:pPr>
    </w:p>
    <w:p w14:paraId="1CE7837D" w14:textId="77777777" w:rsidR="00FB5BA6" w:rsidRDefault="00FB5BA6" w:rsidP="00FB5BA6">
      <w:pPr>
        <w:spacing w:line="345" w:lineRule="exact"/>
        <w:rPr>
          <w:sz w:val="20"/>
          <w:szCs w:val="20"/>
        </w:rPr>
      </w:pPr>
    </w:p>
    <w:p w14:paraId="78AC1338" w14:textId="77777777" w:rsidR="00FB5BA6" w:rsidRDefault="00FB5BA6" w:rsidP="00FB5BA6">
      <w:pPr>
        <w:ind w:left="1400"/>
        <w:rPr>
          <w:sz w:val="20"/>
          <w:szCs w:val="20"/>
        </w:rPr>
      </w:pPr>
      <w:r>
        <w:rPr>
          <w:rFonts w:eastAsia="Times New Roman"/>
          <w:i/>
          <w:iCs/>
          <w:sz w:val="15"/>
          <w:szCs w:val="15"/>
        </w:rPr>
        <w:t>Source : données Commission de régulation de l’énergie, calculs et présentation Cour des comptes</w:t>
      </w:r>
    </w:p>
    <w:p w14:paraId="7C6A501D" w14:textId="77777777" w:rsidR="00FB5BA6" w:rsidRDefault="00FB5BA6" w:rsidP="00FB5BA6">
      <w:pPr>
        <w:spacing w:line="5" w:lineRule="exact"/>
        <w:rPr>
          <w:sz w:val="20"/>
          <w:szCs w:val="20"/>
        </w:rPr>
      </w:pPr>
    </w:p>
    <w:p w14:paraId="159063A5" w14:textId="77777777" w:rsidR="00FB5BA6" w:rsidRDefault="00FB5BA6" w:rsidP="00FB5BA6">
      <w:pPr>
        <w:ind w:left="1400"/>
        <w:rPr>
          <w:sz w:val="20"/>
          <w:szCs w:val="20"/>
        </w:rPr>
      </w:pPr>
      <w:r>
        <w:rPr>
          <w:rFonts w:eastAsia="Times New Roman"/>
          <w:i/>
          <w:iCs/>
          <w:sz w:val="16"/>
          <w:szCs w:val="16"/>
        </w:rPr>
        <w:t>Note : *rémunération d’Enedis, amortissement et fonctionnement du système de comptage</w:t>
      </w:r>
    </w:p>
    <w:p w14:paraId="5F4B7533" w14:textId="77777777" w:rsidR="00FB5BA6" w:rsidRDefault="00FB5BA6" w:rsidP="00FB5BA6">
      <w:pPr>
        <w:spacing w:line="187" w:lineRule="exact"/>
        <w:rPr>
          <w:sz w:val="20"/>
          <w:szCs w:val="20"/>
        </w:rPr>
      </w:pPr>
    </w:p>
    <w:p w14:paraId="6CDC1192" w14:textId="77777777" w:rsidR="00FB5BA6" w:rsidRDefault="00FB5BA6" w:rsidP="00FB5BA6">
      <w:pPr>
        <w:spacing w:line="253" w:lineRule="auto"/>
        <w:ind w:left="1400" w:right="1386" w:firstLine="566"/>
        <w:jc w:val="both"/>
        <w:rPr>
          <w:sz w:val="20"/>
          <w:szCs w:val="20"/>
        </w:rPr>
      </w:pPr>
      <w:r>
        <w:rPr>
          <w:rFonts w:eastAsia="Times New Roman"/>
          <w:sz w:val="20"/>
          <w:szCs w:val="20"/>
        </w:rPr>
        <w:t>De plus, le différé tarifaire n’aura que partiellement l’effet annoncé puisque le tarif sera, entre 2022 et 2029, plus élevé que celui qui aurait été appliqué si le programme n’avait pas été réalisé (cf. graphique ci-dessus).</w:t>
      </w:r>
    </w:p>
    <w:p w14:paraId="519B0B65" w14:textId="77777777" w:rsidR="00FB5BA6" w:rsidRDefault="00FB5BA6" w:rsidP="00FB5BA6">
      <w:pPr>
        <w:spacing w:line="200" w:lineRule="exact"/>
        <w:rPr>
          <w:sz w:val="20"/>
          <w:szCs w:val="20"/>
        </w:rPr>
      </w:pPr>
    </w:p>
    <w:p w14:paraId="4410F72F" w14:textId="77777777" w:rsidR="00FB5BA6" w:rsidRDefault="00FB5BA6" w:rsidP="00FB5BA6">
      <w:pPr>
        <w:spacing w:line="270" w:lineRule="exact"/>
        <w:rPr>
          <w:sz w:val="20"/>
          <w:szCs w:val="20"/>
        </w:rPr>
      </w:pPr>
    </w:p>
    <w:p w14:paraId="59E7A994" w14:textId="77777777" w:rsidR="00FB5BA6" w:rsidRDefault="00FB5BA6" w:rsidP="00FB5BA6">
      <w:pPr>
        <w:ind w:right="6"/>
        <w:jc w:val="center"/>
        <w:rPr>
          <w:sz w:val="20"/>
          <w:szCs w:val="20"/>
        </w:rPr>
      </w:pPr>
      <w:r>
        <w:rPr>
          <w:rFonts w:eastAsia="Times New Roman"/>
          <w:b/>
          <w:bCs/>
        </w:rPr>
        <w:t>2 - Le financement du projet et les incitations généreuses prévues</w:t>
      </w:r>
    </w:p>
    <w:p w14:paraId="27617500" w14:textId="77777777" w:rsidR="00FB5BA6" w:rsidRDefault="00FB5BA6" w:rsidP="00FB5BA6">
      <w:pPr>
        <w:spacing w:line="367" w:lineRule="exact"/>
        <w:rPr>
          <w:sz w:val="20"/>
          <w:szCs w:val="20"/>
        </w:rPr>
      </w:pPr>
    </w:p>
    <w:p w14:paraId="60D2397F" w14:textId="77777777" w:rsidR="00FB5BA6" w:rsidRDefault="00FB5BA6" w:rsidP="00FB5BA6">
      <w:pPr>
        <w:spacing w:line="242" w:lineRule="auto"/>
        <w:ind w:left="1400" w:right="1386" w:firstLine="566"/>
        <w:jc w:val="both"/>
        <w:rPr>
          <w:sz w:val="20"/>
          <w:szCs w:val="20"/>
        </w:rPr>
      </w:pPr>
      <w:r>
        <w:rPr>
          <w:rFonts w:eastAsia="Times New Roman"/>
          <w:sz w:val="21"/>
          <w:szCs w:val="21"/>
        </w:rPr>
        <w:t>S’agissant des coûts prévisionnels d’investissement, l’incitation à les respecter repose sur la modulation du taux de rémunération des actifs, fixé pour Linky à 9,25 % : en cas d’économies par rapport aux coûts prévisionnels, ce taux peut être porté jusqu’à 9,75 % et, en cas de surcoût, diminué jusqu’à 5,25 %. Dans le cas nominal (9,25 %), Enedis bénéficie d’un bonus de 0,65 ou de 2,55 points par rapport à ses autres investissements</w:t>
      </w:r>
      <w:r>
        <w:rPr>
          <w:rFonts w:eastAsia="Times New Roman"/>
          <w:sz w:val="27"/>
          <w:szCs w:val="27"/>
          <w:vertAlign w:val="superscript"/>
        </w:rPr>
        <w:t>226</w:t>
      </w:r>
      <w:r>
        <w:rPr>
          <w:rFonts w:eastAsia="Times New Roman"/>
          <w:sz w:val="21"/>
          <w:szCs w:val="21"/>
        </w:rPr>
        <w:t>.</w:t>
      </w:r>
    </w:p>
    <w:p w14:paraId="7BF49553" w14:textId="77777777" w:rsidR="00FB5BA6" w:rsidRDefault="00FB5BA6" w:rsidP="00FB5BA6">
      <w:pPr>
        <w:spacing w:line="38" w:lineRule="exact"/>
        <w:rPr>
          <w:sz w:val="20"/>
          <w:szCs w:val="20"/>
        </w:rPr>
      </w:pPr>
    </w:p>
    <w:p w14:paraId="71118956" w14:textId="77777777" w:rsidR="00FB5BA6" w:rsidRDefault="00FB5BA6" w:rsidP="00FB5BA6">
      <w:pPr>
        <w:spacing w:line="237" w:lineRule="auto"/>
        <w:ind w:left="1400" w:right="1386" w:firstLine="566"/>
        <w:jc w:val="both"/>
        <w:rPr>
          <w:sz w:val="20"/>
          <w:szCs w:val="20"/>
        </w:rPr>
      </w:pPr>
      <w:r>
        <w:rPr>
          <w:rFonts w:eastAsia="Times New Roman"/>
          <w:sz w:val="21"/>
          <w:szCs w:val="21"/>
        </w:rPr>
        <w:t>S’agissant du respect des délais de déploiement, en cas de retard, des pénalités proportionnelles au nombre de compteurs non posés ou non communicants (de 5,40 à 16,20 € par compteur), sont appliquées à chaque passage de jalon (fin 2017, fin 2019 et fin 2021). Mais la pénalité n’est contraignante que pour un retard important sur le calendrier de pose : en</w:t>
      </w:r>
    </w:p>
    <w:p w14:paraId="48CE8F91" w14:textId="77777777" w:rsidR="00FB5BA6" w:rsidRDefault="00FB5BA6" w:rsidP="00FB5BA6">
      <w:pPr>
        <w:spacing w:line="20" w:lineRule="exact"/>
        <w:rPr>
          <w:sz w:val="20"/>
          <w:szCs w:val="20"/>
        </w:rPr>
      </w:pPr>
      <w:r>
        <w:rPr>
          <w:noProof/>
          <w:sz w:val="20"/>
          <w:szCs w:val="20"/>
        </w:rPr>
        <mc:AlternateContent>
          <mc:Choice Requires="wps">
            <w:drawing>
              <wp:anchor distT="0" distB="0" distL="114300" distR="114300" simplePos="0" relativeHeight="251693056" behindDoc="1" locked="0" layoutInCell="0" allowOverlap="1" wp14:anchorId="7C694159" wp14:editId="6CFCEBBD">
                <wp:simplePos x="0" y="0"/>
                <wp:positionH relativeFrom="column">
                  <wp:posOffset>885190</wp:posOffset>
                </wp:positionH>
                <wp:positionV relativeFrom="paragraph">
                  <wp:posOffset>215265</wp:posOffset>
                </wp:positionV>
                <wp:extent cx="182943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793946" id="Shape 34"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69.7pt,16.95pt" to="213.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" o:allowincell="f" filled="t" strokeweight=".16931mm">
                <v:stroke joinstyle="miter"/>
                <o:lock v:ext="edit" shapetype="f"/>
              </v:line>
            </w:pict>
          </mc:Fallback>
        </mc:AlternateContent>
      </w:r>
    </w:p>
    <w:p w14:paraId="37669A19" w14:textId="77777777" w:rsidR="00FB5BA6" w:rsidRDefault="00FB5BA6" w:rsidP="00FB5BA6">
      <w:pPr>
        <w:spacing w:line="200" w:lineRule="exact"/>
        <w:rPr>
          <w:sz w:val="20"/>
          <w:szCs w:val="20"/>
        </w:rPr>
      </w:pPr>
    </w:p>
    <w:p w14:paraId="7632848D" w14:textId="77777777" w:rsidR="00FB5BA6" w:rsidRDefault="00FB5BA6" w:rsidP="00FB5BA6">
      <w:pPr>
        <w:spacing w:line="225" w:lineRule="exact"/>
        <w:rPr>
          <w:sz w:val="20"/>
          <w:szCs w:val="20"/>
        </w:rPr>
      </w:pPr>
    </w:p>
    <w:p w14:paraId="0B13FC67" w14:textId="77777777" w:rsidR="00FB5BA6" w:rsidRDefault="00FB5BA6" w:rsidP="00FB5BA6">
      <w:pPr>
        <w:numPr>
          <w:ilvl w:val="0"/>
          <w:numId w:val="12"/>
        </w:numPr>
        <w:tabs>
          <w:tab w:val="left" w:pos="1623"/>
        </w:tabs>
        <w:spacing w:line="227" w:lineRule="auto"/>
        <w:ind w:left="1400" w:right="1386" w:hanging="5"/>
        <w:jc w:val="both"/>
        <w:rPr>
          <w:rFonts w:eastAsia="Times New Roman"/>
          <w:vertAlign w:val="superscript"/>
        </w:rPr>
      </w:pPr>
      <w:r>
        <w:rPr>
          <w:rFonts w:eastAsia="Times New Roman"/>
          <w:sz w:val="17"/>
          <w:szCs w:val="17"/>
        </w:rPr>
        <w:t>Ces autres investissements font l’objet d’une rémunération respectivement de 8,6 % et 6,7 % pour la période 2014-2017 et pour la période 2017-2021. Ainsi, en fonction de la référence choisie, le bonus est 0,65 ou de 2,55 points.</w:t>
      </w:r>
    </w:p>
    <w:p w14:paraId="18C6B38B" w14:textId="77777777" w:rsidR="00FB5BA6" w:rsidRDefault="00FB5BA6" w:rsidP="00FB5BA6">
      <w:pPr>
        <w:spacing w:line="200" w:lineRule="exact"/>
        <w:rPr>
          <w:sz w:val="20"/>
          <w:szCs w:val="20"/>
        </w:rPr>
      </w:pPr>
    </w:p>
    <w:p w14:paraId="19E290D9" w14:textId="77777777" w:rsidR="00FB5BA6" w:rsidRDefault="00FB5BA6" w:rsidP="00FB5BA6">
      <w:pPr>
        <w:spacing w:line="200" w:lineRule="exact"/>
        <w:rPr>
          <w:sz w:val="20"/>
          <w:szCs w:val="20"/>
        </w:rPr>
      </w:pPr>
    </w:p>
    <w:p w14:paraId="23DB94E6" w14:textId="77777777" w:rsidR="00FB5BA6" w:rsidRDefault="00FB5BA6" w:rsidP="00FB5BA6">
      <w:pPr>
        <w:spacing w:line="200" w:lineRule="exact"/>
        <w:rPr>
          <w:sz w:val="20"/>
          <w:szCs w:val="20"/>
        </w:rPr>
      </w:pPr>
    </w:p>
    <w:p w14:paraId="39EBFAA5" w14:textId="77777777" w:rsidR="00FB5BA6" w:rsidRDefault="00FB5BA6" w:rsidP="00FB5BA6">
      <w:pPr>
        <w:spacing w:line="200" w:lineRule="exact"/>
        <w:rPr>
          <w:sz w:val="20"/>
          <w:szCs w:val="20"/>
        </w:rPr>
      </w:pPr>
    </w:p>
    <w:p w14:paraId="2CFB6389" w14:textId="77777777" w:rsidR="00FB5BA6" w:rsidRDefault="00FB5BA6" w:rsidP="00FB5BA6">
      <w:pPr>
        <w:spacing w:line="200" w:lineRule="exact"/>
        <w:rPr>
          <w:sz w:val="20"/>
          <w:szCs w:val="20"/>
        </w:rPr>
      </w:pPr>
    </w:p>
    <w:p w14:paraId="43263F35" w14:textId="77777777" w:rsidR="00FB5BA6" w:rsidRDefault="00FB5BA6" w:rsidP="00FB5BA6">
      <w:pPr>
        <w:spacing w:line="200" w:lineRule="exact"/>
        <w:rPr>
          <w:sz w:val="20"/>
          <w:szCs w:val="20"/>
        </w:rPr>
      </w:pPr>
    </w:p>
    <w:p w14:paraId="2D53B630" w14:textId="77777777" w:rsidR="00FB5BA6" w:rsidRDefault="00FB5BA6" w:rsidP="00FB5BA6">
      <w:pPr>
        <w:spacing w:line="200" w:lineRule="exact"/>
        <w:rPr>
          <w:sz w:val="20"/>
          <w:szCs w:val="20"/>
        </w:rPr>
      </w:pPr>
    </w:p>
    <w:p w14:paraId="7F81126B" w14:textId="77777777" w:rsidR="00FB5BA6" w:rsidRDefault="00FB5BA6" w:rsidP="00FB5BA6">
      <w:pPr>
        <w:spacing w:line="200" w:lineRule="exact"/>
        <w:rPr>
          <w:sz w:val="20"/>
          <w:szCs w:val="20"/>
        </w:rPr>
      </w:pPr>
    </w:p>
    <w:p w14:paraId="15ACA1EA" w14:textId="77777777" w:rsidR="00FB5BA6" w:rsidRDefault="00FB5BA6" w:rsidP="00FB5BA6">
      <w:pPr>
        <w:spacing w:line="200" w:lineRule="exact"/>
        <w:rPr>
          <w:sz w:val="20"/>
          <w:szCs w:val="20"/>
        </w:rPr>
      </w:pPr>
    </w:p>
    <w:p w14:paraId="1ACC380C" w14:textId="77777777" w:rsidR="00FB5BA6" w:rsidRDefault="00FB5BA6" w:rsidP="00FB5BA6">
      <w:pPr>
        <w:spacing w:line="336" w:lineRule="exact"/>
        <w:rPr>
          <w:sz w:val="20"/>
          <w:szCs w:val="20"/>
        </w:rPr>
      </w:pPr>
    </w:p>
    <w:p w14:paraId="278ED404" w14:textId="77777777" w:rsidR="00FB5BA6" w:rsidRDefault="00FB5BA6" w:rsidP="00FB5BA6">
      <w:pPr>
        <w:ind w:right="-13"/>
        <w:jc w:val="center"/>
        <w:rPr>
          <w:sz w:val="20"/>
          <w:szCs w:val="20"/>
        </w:rPr>
      </w:pPr>
      <w:r>
        <w:rPr>
          <w:rFonts w:ascii="Arial" w:eastAsia="Arial" w:hAnsi="Arial" w:cs="Arial"/>
          <w:sz w:val="16"/>
          <w:szCs w:val="16"/>
        </w:rPr>
        <w:t>Rapport public annuel 2018 – février 2018</w:t>
      </w:r>
    </w:p>
    <w:p w14:paraId="2D686503" w14:textId="77777777" w:rsidR="00FB5BA6" w:rsidRDefault="00FB5BA6" w:rsidP="00FB5BA6">
      <w:pPr>
        <w:spacing w:line="8" w:lineRule="exact"/>
        <w:rPr>
          <w:sz w:val="20"/>
          <w:szCs w:val="20"/>
        </w:rPr>
      </w:pPr>
    </w:p>
    <w:p w14:paraId="18F7E97A" w14:textId="77777777" w:rsidR="00FB5BA6" w:rsidRDefault="00FB5BA6" w:rsidP="00FB5BA6">
      <w:pPr>
        <w:ind w:right="-13"/>
        <w:jc w:val="center"/>
        <w:rPr>
          <w:sz w:val="20"/>
          <w:szCs w:val="20"/>
        </w:rPr>
      </w:pPr>
      <w:r>
        <w:rPr>
          <w:rFonts w:ascii="Arial" w:eastAsia="Arial" w:hAnsi="Arial" w:cs="Arial"/>
          <w:sz w:val="16"/>
          <w:szCs w:val="16"/>
        </w:rPr>
        <w:t>Cour des comptes - www.ccomptes.fr - @Courdescomptes</w:t>
      </w:r>
    </w:p>
    <w:p w14:paraId="79C4A86F" w14:textId="77777777" w:rsidR="00FB5BA6" w:rsidRDefault="00FB5BA6" w:rsidP="00FB5BA6">
      <w:pPr>
        <w:sectPr w:rsidR="00FB5BA6">
          <w:pgSz w:w="11900" w:h="16841"/>
          <w:pgMar w:top="1440" w:right="1440" w:bottom="0" w:left="1440" w:header="0" w:footer="0" w:gutter="0"/>
          <w:cols w:space="720" w:equalWidth="0">
            <w:col w:w="9026"/>
          </w:cols>
        </w:sectPr>
      </w:pPr>
    </w:p>
    <w:p w14:paraId="087EB698" w14:textId="77777777" w:rsidR="00FB5BA6" w:rsidRDefault="00FB5BA6" w:rsidP="00FB5BA6">
      <w:pPr>
        <w:spacing w:line="200" w:lineRule="exact"/>
        <w:rPr>
          <w:sz w:val="20"/>
          <w:szCs w:val="20"/>
        </w:rPr>
      </w:pPr>
      <w:bookmarkStart w:id="4" w:name="page15"/>
      <w:bookmarkEnd w:id="4"/>
    </w:p>
    <w:p w14:paraId="002F99E6" w14:textId="77777777" w:rsidR="00FB5BA6" w:rsidRDefault="00FB5BA6" w:rsidP="00FB5BA6">
      <w:pPr>
        <w:spacing w:line="200" w:lineRule="exact"/>
        <w:rPr>
          <w:sz w:val="20"/>
          <w:szCs w:val="20"/>
        </w:rPr>
      </w:pPr>
    </w:p>
    <w:tbl>
      <w:tblPr>
        <w:tblW w:w="0" w:type="auto"/>
        <w:tblInd w:w="1400" w:type="dxa"/>
        <w:tblLayout w:type="fixed"/>
        <w:tblCellMar>
          <w:left w:w="0" w:type="dxa"/>
          <w:right w:w="0" w:type="dxa"/>
        </w:tblCellMar>
        <w:tblLook w:val="04A0" w:firstRow="1" w:lastRow="0" w:firstColumn="1" w:lastColumn="0" w:noHBand="0" w:noVBand="1"/>
      </w:tblPr>
      <w:tblGrid>
        <w:gridCol w:w="5360"/>
        <w:gridCol w:w="860"/>
      </w:tblGrid>
      <w:tr w:rsidR="00FB5BA6" w14:paraId="1CC54144" w14:textId="77777777" w:rsidTr="0003411C">
        <w:trPr>
          <w:trHeight w:val="186"/>
        </w:trPr>
        <w:tc>
          <w:tcPr>
            <w:tcW w:w="5360" w:type="dxa"/>
            <w:vAlign w:val="bottom"/>
          </w:tcPr>
          <w:p w14:paraId="338E9AFA" w14:textId="704A817B" w:rsidR="00FB5BA6" w:rsidRDefault="00FB5BA6" w:rsidP="0003411C">
            <w:pPr>
              <w:rPr>
                <w:sz w:val="20"/>
                <w:szCs w:val="20"/>
              </w:rPr>
            </w:pPr>
          </w:p>
        </w:tc>
        <w:tc>
          <w:tcPr>
            <w:tcW w:w="860" w:type="dxa"/>
            <w:vAlign w:val="bottom"/>
          </w:tcPr>
          <w:p w14:paraId="00DC4164" w14:textId="77777777" w:rsidR="00FB5BA6" w:rsidRDefault="00FB5BA6" w:rsidP="0003411C">
            <w:pPr>
              <w:jc w:val="right"/>
              <w:rPr>
                <w:sz w:val="20"/>
                <w:szCs w:val="20"/>
              </w:rPr>
            </w:pPr>
            <w:r>
              <w:rPr>
                <w:rFonts w:eastAsia="Times New Roman"/>
                <w:sz w:val="16"/>
                <w:szCs w:val="16"/>
              </w:rPr>
              <w:t>257</w:t>
            </w:r>
          </w:p>
        </w:tc>
      </w:tr>
    </w:tbl>
    <w:p w14:paraId="5665A06D" w14:textId="77777777" w:rsidR="00FB5BA6" w:rsidRDefault="00FB5BA6" w:rsidP="00FB5BA6">
      <w:pPr>
        <w:spacing w:line="6" w:lineRule="exact"/>
        <w:rPr>
          <w:sz w:val="20"/>
          <w:szCs w:val="20"/>
        </w:rPr>
      </w:pPr>
    </w:p>
    <w:p w14:paraId="72874434" w14:textId="7556437E" w:rsidR="00FB5BA6" w:rsidRDefault="00FB5BA6" w:rsidP="00F37B24">
      <w:pPr>
        <w:spacing w:line="20" w:lineRule="exact"/>
        <w:rPr>
          <w:sz w:val="20"/>
          <w:szCs w:val="20"/>
        </w:rPr>
      </w:pPr>
      <w:r>
        <w:rPr>
          <w:noProof/>
          <w:sz w:val="20"/>
          <w:szCs w:val="20"/>
        </w:rPr>
        <w:drawing>
          <wp:anchor distT="0" distB="0" distL="114300" distR="114300" simplePos="0" relativeHeight="251694080" behindDoc="1" locked="0" layoutInCell="0" allowOverlap="1" wp14:anchorId="3DECADF7" wp14:editId="3BDAC3C2">
            <wp:simplePos x="0" y="0"/>
            <wp:positionH relativeFrom="column">
              <wp:posOffset>867410</wp:posOffset>
            </wp:positionH>
            <wp:positionV relativeFrom="paragraph">
              <wp:posOffset>30480</wp:posOffset>
            </wp:positionV>
            <wp:extent cx="3997960" cy="63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srcRect/>
                    <a:stretch>
                      <a:fillRect/>
                    </a:stretch>
                  </pic:blipFill>
                  <pic:spPr bwMode="auto">
                    <a:xfrm>
                      <a:off x="0" y="0"/>
                      <a:ext cx="3997960" cy="6350"/>
                    </a:xfrm>
                    <a:prstGeom prst="rect">
                      <a:avLst/>
                    </a:prstGeom>
                    <a:noFill/>
                  </pic:spPr>
                </pic:pic>
              </a:graphicData>
            </a:graphic>
          </wp:anchor>
        </w:drawing>
      </w:r>
    </w:p>
    <w:p w14:paraId="4A506432" w14:textId="77777777" w:rsidR="00FB5BA6" w:rsidRDefault="00FB5BA6" w:rsidP="00FB5BA6">
      <w:pPr>
        <w:spacing w:line="236" w:lineRule="auto"/>
        <w:ind w:left="1400" w:right="1386"/>
        <w:jc w:val="both"/>
        <w:rPr>
          <w:sz w:val="20"/>
          <w:szCs w:val="20"/>
        </w:rPr>
      </w:pPr>
      <w:proofErr w:type="gramStart"/>
      <w:r>
        <w:rPr>
          <w:rFonts w:eastAsia="Times New Roman"/>
          <w:sz w:val="21"/>
          <w:szCs w:val="21"/>
        </w:rPr>
        <w:t>cas</w:t>
      </w:r>
      <w:proofErr w:type="gramEnd"/>
      <w:r>
        <w:rPr>
          <w:rFonts w:eastAsia="Times New Roman"/>
          <w:sz w:val="21"/>
          <w:szCs w:val="21"/>
        </w:rPr>
        <w:t xml:space="preserve"> de rattrapage du calendrier avant la fin du déploiement ou d’écart inférieur à 4 % par rapport au nombre prévisionnel de compteurs communicants au 31 décembre 2021, aucune pénalité n’est appliquée.</w:t>
      </w:r>
    </w:p>
    <w:p w14:paraId="09209BD2" w14:textId="77777777" w:rsidR="00FB5BA6" w:rsidRDefault="00FB5BA6" w:rsidP="00FB5BA6">
      <w:pPr>
        <w:spacing w:line="130" w:lineRule="exact"/>
        <w:rPr>
          <w:sz w:val="20"/>
          <w:szCs w:val="20"/>
        </w:rPr>
      </w:pPr>
    </w:p>
    <w:p w14:paraId="43068FF8" w14:textId="77777777" w:rsidR="00FB5BA6" w:rsidRDefault="00FB5BA6" w:rsidP="00FB5BA6">
      <w:pPr>
        <w:spacing w:line="233" w:lineRule="auto"/>
        <w:ind w:left="1400" w:right="1386" w:firstLine="566"/>
        <w:jc w:val="both"/>
        <w:rPr>
          <w:sz w:val="20"/>
          <w:szCs w:val="20"/>
        </w:rPr>
      </w:pPr>
      <w:r>
        <w:rPr>
          <w:rFonts w:eastAsia="Times New Roman"/>
          <w:sz w:val="21"/>
          <w:szCs w:val="21"/>
        </w:rPr>
        <w:t>S’agissant de la performance du système de comptage Linky, l’objectif est d’inciter Enedis à atteindre et maintenir un niveau de performance élevé, condition nécessaire à la réalisation des gains en matière de gestion du réseau (interventions à distance, fin de la relève à pied, baisse des pertes non techniques, rapidité de détection et d’intervention en cas d’incident, etc.). Cette incitation se fait par un autre bonus, répercuté lui aussi sur la facture du consommateur, d’un montant annuel équivalant à 1 % de la valeur prévue des investissements. Si les indicateurs retenus conditionnant le bonus paraissent pertinents</w:t>
      </w:r>
      <w:r>
        <w:rPr>
          <w:rFonts w:eastAsia="Times New Roman"/>
          <w:sz w:val="27"/>
          <w:szCs w:val="27"/>
          <w:vertAlign w:val="superscript"/>
        </w:rPr>
        <w:t>227</w:t>
      </w:r>
      <w:r>
        <w:rPr>
          <w:rFonts w:eastAsia="Times New Roman"/>
          <w:sz w:val="21"/>
          <w:szCs w:val="21"/>
        </w:rPr>
        <w:t>, ils ne suffisent cependant pas en eux-mêmes à assurer que les objectifs finaux du programme seront atteints.</w:t>
      </w:r>
    </w:p>
    <w:p w14:paraId="6DCDFE46" w14:textId="77777777" w:rsidR="00FB5BA6" w:rsidRDefault="00FB5BA6" w:rsidP="00FB5BA6">
      <w:pPr>
        <w:spacing w:line="132" w:lineRule="exact"/>
        <w:rPr>
          <w:sz w:val="20"/>
          <w:szCs w:val="20"/>
        </w:rPr>
      </w:pPr>
    </w:p>
    <w:p w14:paraId="12A0B3D3" w14:textId="77777777" w:rsidR="00FB5BA6" w:rsidRPr="00F37B24" w:rsidRDefault="00FB5BA6" w:rsidP="00FB5BA6">
      <w:pPr>
        <w:spacing w:line="238" w:lineRule="auto"/>
        <w:ind w:left="1400" w:right="1386" w:firstLine="566"/>
        <w:jc w:val="both"/>
        <w:rPr>
          <w:b/>
          <w:bCs/>
          <w:sz w:val="20"/>
          <w:szCs w:val="20"/>
        </w:rPr>
      </w:pPr>
      <w:r w:rsidRPr="00F37B24">
        <w:rPr>
          <w:rFonts w:eastAsia="Times New Roman"/>
          <w:b/>
          <w:bCs/>
          <w:sz w:val="21"/>
          <w:szCs w:val="21"/>
        </w:rPr>
        <w:t>Au total, si Enedis respecte en 2019 les coûts, les délais et les niveaux de performance, sa rémunération globale s’élèvera, en prenant en compte l’ensemble des incitations, à 10,3 % de la valeur actualisée nette des actifs. Elle pourrait même être supérieure en cas d’économies par rapport aux coûts prévisionnels (de l’ordre de 11 % de la valeur des actifs en cas d’économies de 20 %) et seules des dérives importantes amèneront réellement à pénaliser l’entreprise, et ce de façon limitée puisque, les pénalités étant plafonnées, Enedis est assurée d’avoir une rémunération d’au moins 5,25 %.</w:t>
      </w:r>
    </w:p>
    <w:p w14:paraId="3A1F6AD0" w14:textId="77777777" w:rsidR="00FB5BA6" w:rsidRPr="00F37B24" w:rsidRDefault="00FB5BA6" w:rsidP="00FB5BA6">
      <w:pPr>
        <w:spacing w:line="140" w:lineRule="exact"/>
        <w:rPr>
          <w:b/>
          <w:bCs/>
          <w:sz w:val="20"/>
          <w:szCs w:val="20"/>
        </w:rPr>
      </w:pPr>
    </w:p>
    <w:p w14:paraId="62517A23" w14:textId="77777777" w:rsidR="00FB5BA6" w:rsidRPr="00F37B24" w:rsidRDefault="00FB5BA6" w:rsidP="00FB5BA6">
      <w:pPr>
        <w:spacing w:line="235" w:lineRule="auto"/>
        <w:ind w:left="1400" w:right="1406" w:firstLine="566"/>
        <w:jc w:val="both"/>
        <w:rPr>
          <w:b/>
          <w:bCs/>
          <w:sz w:val="20"/>
          <w:szCs w:val="20"/>
        </w:rPr>
      </w:pPr>
      <w:r w:rsidRPr="00F37B24">
        <w:rPr>
          <w:rFonts w:eastAsia="Times New Roman"/>
          <w:b/>
          <w:bCs/>
          <w:sz w:val="21"/>
          <w:szCs w:val="21"/>
        </w:rPr>
        <w:t>Ainsi le différé tarifaire et les incitations financières permettront à Enedis de bénéficier de conditions de rémunération avantageuses.</w:t>
      </w:r>
    </w:p>
    <w:p w14:paraId="76B3761C" w14:textId="7FCCD529" w:rsidR="002D25C4" w:rsidRPr="00F37B24" w:rsidRDefault="002D25C4" w:rsidP="00FB5BA6">
      <w:pPr>
        <w:rPr>
          <w:b/>
          <w:bCs/>
        </w:rPr>
      </w:pPr>
    </w:p>
    <w:sectPr w:rsidR="002D25C4" w:rsidRPr="00F37B24" w:rsidSect="00FB5B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BDAB"/>
    <w:multiLevelType w:val="hybridMultilevel"/>
    <w:tmpl w:val="5212D744"/>
    <w:lvl w:ilvl="0" w:tplc="CCFC854E">
      <w:start w:val="222"/>
      <w:numFmt w:val="decimal"/>
      <w:lvlText w:val="%1"/>
      <w:lvlJc w:val="left"/>
    </w:lvl>
    <w:lvl w:ilvl="1" w:tplc="A87C5152">
      <w:numFmt w:val="decimal"/>
      <w:lvlText w:val=""/>
      <w:lvlJc w:val="left"/>
    </w:lvl>
    <w:lvl w:ilvl="2" w:tplc="2638A1E4">
      <w:numFmt w:val="decimal"/>
      <w:lvlText w:val=""/>
      <w:lvlJc w:val="left"/>
    </w:lvl>
    <w:lvl w:ilvl="3" w:tplc="1E842A5A">
      <w:numFmt w:val="decimal"/>
      <w:lvlText w:val=""/>
      <w:lvlJc w:val="left"/>
    </w:lvl>
    <w:lvl w:ilvl="4" w:tplc="364088DA">
      <w:numFmt w:val="decimal"/>
      <w:lvlText w:val=""/>
      <w:lvlJc w:val="left"/>
    </w:lvl>
    <w:lvl w:ilvl="5" w:tplc="910E53AA">
      <w:numFmt w:val="decimal"/>
      <w:lvlText w:val=""/>
      <w:lvlJc w:val="left"/>
    </w:lvl>
    <w:lvl w:ilvl="6" w:tplc="FD72832A">
      <w:numFmt w:val="decimal"/>
      <w:lvlText w:val=""/>
      <w:lvlJc w:val="left"/>
    </w:lvl>
    <w:lvl w:ilvl="7" w:tplc="67327EC2">
      <w:numFmt w:val="decimal"/>
      <w:lvlText w:val=""/>
      <w:lvlJc w:val="left"/>
    </w:lvl>
    <w:lvl w:ilvl="8" w:tplc="57249734">
      <w:numFmt w:val="decimal"/>
      <w:lvlText w:val=""/>
      <w:lvlJc w:val="left"/>
    </w:lvl>
  </w:abstractNum>
  <w:abstractNum w:abstractNumId="1" w15:restartNumberingAfterBreak="0">
    <w:nsid w:val="0B03E0C6"/>
    <w:multiLevelType w:val="hybridMultilevel"/>
    <w:tmpl w:val="7F1CBB4E"/>
    <w:lvl w:ilvl="0" w:tplc="1F2883EE">
      <w:start w:val="224"/>
      <w:numFmt w:val="decimal"/>
      <w:lvlText w:val="%1"/>
      <w:lvlJc w:val="left"/>
    </w:lvl>
    <w:lvl w:ilvl="1" w:tplc="A528852E">
      <w:numFmt w:val="decimal"/>
      <w:lvlText w:val=""/>
      <w:lvlJc w:val="left"/>
    </w:lvl>
    <w:lvl w:ilvl="2" w:tplc="BCBAADFE">
      <w:numFmt w:val="decimal"/>
      <w:lvlText w:val=""/>
      <w:lvlJc w:val="left"/>
    </w:lvl>
    <w:lvl w:ilvl="3" w:tplc="6D0CC13A">
      <w:numFmt w:val="decimal"/>
      <w:lvlText w:val=""/>
      <w:lvlJc w:val="left"/>
    </w:lvl>
    <w:lvl w:ilvl="4" w:tplc="4A94A15C">
      <w:numFmt w:val="decimal"/>
      <w:lvlText w:val=""/>
      <w:lvlJc w:val="left"/>
    </w:lvl>
    <w:lvl w:ilvl="5" w:tplc="AD3AFA8C">
      <w:numFmt w:val="decimal"/>
      <w:lvlText w:val=""/>
      <w:lvlJc w:val="left"/>
    </w:lvl>
    <w:lvl w:ilvl="6" w:tplc="9828A5C0">
      <w:numFmt w:val="decimal"/>
      <w:lvlText w:val=""/>
      <w:lvlJc w:val="left"/>
    </w:lvl>
    <w:lvl w:ilvl="7" w:tplc="4C6AD7FE">
      <w:numFmt w:val="decimal"/>
      <w:lvlText w:val=""/>
      <w:lvlJc w:val="left"/>
    </w:lvl>
    <w:lvl w:ilvl="8" w:tplc="ECC6E676">
      <w:numFmt w:val="decimal"/>
      <w:lvlText w:val=""/>
      <w:lvlJc w:val="left"/>
    </w:lvl>
  </w:abstractNum>
  <w:abstractNum w:abstractNumId="2" w15:restartNumberingAfterBreak="0">
    <w:nsid w:val="189A769B"/>
    <w:multiLevelType w:val="hybridMultilevel"/>
    <w:tmpl w:val="CD14F224"/>
    <w:lvl w:ilvl="0" w:tplc="CEB69B0A">
      <w:start w:val="1"/>
      <w:numFmt w:val="bullet"/>
      <w:lvlText w:val="à"/>
      <w:lvlJc w:val="left"/>
    </w:lvl>
    <w:lvl w:ilvl="1" w:tplc="7A48C2BC">
      <w:numFmt w:val="decimal"/>
      <w:lvlText w:val=""/>
      <w:lvlJc w:val="left"/>
    </w:lvl>
    <w:lvl w:ilvl="2" w:tplc="201296E8">
      <w:numFmt w:val="decimal"/>
      <w:lvlText w:val=""/>
      <w:lvlJc w:val="left"/>
    </w:lvl>
    <w:lvl w:ilvl="3" w:tplc="A6103052">
      <w:numFmt w:val="decimal"/>
      <w:lvlText w:val=""/>
      <w:lvlJc w:val="left"/>
    </w:lvl>
    <w:lvl w:ilvl="4" w:tplc="2A264740">
      <w:numFmt w:val="decimal"/>
      <w:lvlText w:val=""/>
      <w:lvlJc w:val="left"/>
    </w:lvl>
    <w:lvl w:ilvl="5" w:tplc="C4E4F68A">
      <w:numFmt w:val="decimal"/>
      <w:lvlText w:val=""/>
      <w:lvlJc w:val="left"/>
    </w:lvl>
    <w:lvl w:ilvl="6" w:tplc="C040FC02">
      <w:numFmt w:val="decimal"/>
      <w:lvlText w:val=""/>
      <w:lvlJc w:val="left"/>
    </w:lvl>
    <w:lvl w:ilvl="7" w:tplc="90CA008C">
      <w:numFmt w:val="decimal"/>
      <w:lvlText w:val=""/>
      <w:lvlJc w:val="left"/>
    </w:lvl>
    <w:lvl w:ilvl="8" w:tplc="399A488E">
      <w:numFmt w:val="decimal"/>
      <w:lvlText w:val=""/>
      <w:lvlJc w:val="left"/>
    </w:lvl>
  </w:abstractNum>
  <w:abstractNum w:abstractNumId="3" w15:restartNumberingAfterBreak="0">
    <w:nsid w:val="2443A858"/>
    <w:multiLevelType w:val="hybridMultilevel"/>
    <w:tmpl w:val="F776FF10"/>
    <w:lvl w:ilvl="0" w:tplc="BDFE5DCC">
      <w:start w:val="214"/>
      <w:numFmt w:val="decimal"/>
      <w:lvlText w:val="%1"/>
      <w:lvlJc w:val="left"/>
    </w:lvl>
    <w:lvl w:ilvl="1" w:tplc="E4C603EA">
      <w:numFmt w:val="decimal"/>
      <w:lvlText w:val=""/>
      <w:lvlJc w:val="left"/>
    </w:lvl>
    <w:lvl w:ilvl="2" w:tplc="96DE5020">
      <w:numFmt w:val="decimal"/>
      <w:lvlText w:val=""/>
      <w:lvlJc w:val="left"/>
    </w:lvl>
    <w:lvl w:ilvl="3" w:tplc="619C0D3E">
      <w:numFmt w:val="decimal"/>
      <w:lvlText w:val=""/>
      <w:lvlJc w:val="left"/>
    </w:lvl>
    <w:lvl w:ilvl="4" w:tplc="4496C03E">
      <w:numFmt w:val="decimal"/>
      <w:lvlText w:val=""/>
      <w:lvlJc w:val="left"/>
    </w:lvl>
    <w:lvl w:ilvl="5" w:tplc="8230139C">
      <w:numFmt w:val="decimal"/>
      <w:lvlText w:val=""/>
      <w:lvlJc w:val="left"/>
    </w:lvl>
    <w:lvl w:ilvl="6" w:tplc="86E8ED66">
      <w:numFmt w:val="decimal"/>
      <w:lvlText w:val=""/>
      <w:lvlJc w:val="left"/>
    </w:lvl>
    <w:lvl w:ilvl="7" w:tplc="1E284CF2">
      <w:numFmt w:val="decimal"/>
      <w:lvlText w:val=""/>
      <w:lvlJc w:val="left"/>
    </w:lvl>
    <w:lvl w:ilvl="8" w:tplc="2FB6BF28">
      <w:numFmt w:val="decimal"/>
      <w:lvlText w:val=""/>
      <w:lvlJc w:val="left"/>
    </w:lvl>
  </w:abstractNum>
  <w:abstractNum w:abstractNumId="4" w15:restartNumberingAfterBreak="0">
    <w:nsid w:val="2D1D5AE9"/>
    <w:multiLevelType w:val="hybridMultilevel"/>
    <w:tmpl w:val="00088090"/>
    <w:lvl w:ilvl="0" w:tplc="95C8C602">
      <w:start w:val="215"/>
      <w:numFmt w:val="decimal"/>
      <w:lvlText w:val="%1"/>
      <w:lvlJc w:val="left"/>
    </w:lvl>
    <w:lvl w:ilvl="1" w:tplc="E0722354">
      <w:numFmt w:val="decimal"/>
      <w:lvlText w:val=""/>
      <w:lvlJc w:val="left"/>
    </w:lvl>
    <w:lvl w:ilvl="2" w:tplc="C68C74BA">
      <w:numFmt w:val="decimal"/>
      <w:lvlText w:val=""/>
      <w:lvlJc w:val="left"/>
    </w:lvl>
    <w:lvl w:ilvl="3" w:tplc="8CA410AE">
      <w:numFmt w:val="decimal"/>
      <w:lvlText w:val=""/>
      <w:lvlJc w:val="left"/>
    </w:lvl>
    <w:lvl w:ilvl="4" w:tplc="5D3EA7D0">
      <w:numFmt w:val="decimal"/>
      <w:lvlText w:val=""/>
      <w:lvlJc w:val="left"/>
    </w:lvl>
    <w:lvl w:ilvl="5" w:tplc="7D0800D8">
      <w:numFmt w:val="decimal"/>
      <w:lvlText w:val=""/>
      <w:lvlJc w:val="left"/>
    </w:lvl>
    <w:lvl w:ilvl="6" w:tplc="D35C2B80">
      <w:numFmt w:val="decimal"/>
      <w:lvlText w:val=""/>
      <w:lvlJc w:val="left"/>
    </w:lvl>
    <w:lvl w:ilvl="7" w:tplc="40C074AE">
      <w:numFmt w:val="decimal"/>
      <w:lvlText w:val=""/>
      <w:lvlJc w:val="left"/>
    </w:lvl>
    <w:lvl w:ilvl="8" w:tplc="9AE27544">
      <w:numFmt w:val="decimal"/>
      <w:lvlText w:val=""/>
      <w:lvlJc w:val="left"/>
    </w:lvl>
  </w:abstractNum>
  <w:abstractNum w:abstractNumId="5" w15:restartNumberingAfterBreak="0">
    <w:nsid w:val="4353D0CD"/>
    <w:multiLevelType w:val="hybridMultilevel"/>
    <w:tmpl w:val="75500D38"/>
    <w:lvl w:ilvl="0" w:tplc="9378E964">
      <w:start w:val="35"/>
      <w:numFmt w:val="upperLetter"/>
      <w:lvlText w:val="%1"/>
      <w:lvlJc w:val="left"/>
    </w:lvl>
    <w:lvl w:ilvl="1" w:tplc="42227AD8">
      <w:numFmt w:val="decimal"/>
      <w:lvlText w:val=""/>
      <w:lvlJc w:val="left"/>
    </w:lvl>
    <w:lvl w:ilvl="2" w:tplc="1D0E0F38">
      <w:numFmt w:val="decimal"/>
      <w:lvlText w:val=""/>
      <w:lvlJc w:val="left"/>
    </w:lvl>
    <w:lvl w:ilvl="3" w:tplc="532405FE">
      <w:numFmt w:val="decimal"/>
      <w:lvlText w:val=""/>
      <w:lvlJc w:val="left"/>
    </w:lvl>
    <w:lvl w:ilvl="4" w:tplc="5934A224">
      <w:numFmt w:val="decimal"/>
      <w:lvlText w:val=""/>
      <w:lvlJc w:val="left"/>
    </w:lvl>
    <w:lvl w:ilvl="5" w:tplc="B1A6C85C">
      <w:numFmt w:val="decimal"/>
      <w:lvlText w:val=""/>
      <w:lvlJc w:val="left"/>
    </w:lvl>
    <w:lvl w:ilvl="6" w:tplc="25300688">
      <w:numFmt w:val="decimal"/>
      <w:lvlText w:val=""/>
      <w:lvlJc w:val="left"/>
    </w:lvl>
    <w:lvl w:ilvl="7" w:tplc="D45A145A">
      <w:numFmt w:val="decimal"/>
      <w:lvlText w:val=""/>
      <w:lvlJc w:val="left"/>
    </w:lvl>
    <w:lvl w:ilvl="8" w:tplc="FFC837EA">
      <w:numFmt w:val="decimal"/>
      <w:lvlText w:val=""/>
      <w:lvlJc w:val="left"/>
    </w:lvl>
  </w:abstractNum>
  <w:abstractNum w:abstractNumId="6" w15:restartNumberingAfterBreak="0">
    <w:nsid w:val="54E49EB4"/>
    <w:multiLevelType w:val="hybridMultilevel"/>
    <w:tmpl w:val="FCA25B48"/>
    <w:lvl w:ilvl="0" w:tplc="5E92A01E">
      <w:start w:val="1"/>
      <w:numFmt w:val="bullet"/>
      <w:lvlText w:val="à"/>
      <w:lvlJc w:val="left"/>
    </w:lvl>
    <w:lvl w:ilvl="1" w:tplc="4E5A2570">
      <w:numFmt w:val="decimal"/>
      <w:lvlText w:val=""/>
      <w:lvlJc w:val="left"/>
    </w:lvl>
    <w:lvl w:ilvl="2" w:tplc="895AE442">
      <w:numFmt w:val="decimal"/>
      <w:lvlText w:val=""/>
      <w:lvlJc w:val="left"/>
    </w:lvl>
    <w:lvl w:ilvl="3" w:tplc="71BCD1D4">
      <w:numFmt w:val="decimal"/>
      <w:lvlText w:val=""/>
      <w:lvlJc w:val="left"/>
    </w:lvl>
    <w:lvl w:ilvl="4" w:tplc="68AC1D44">
      <w:numFmt w:val="decimal"/>
      <w:lvlText w:val=""/>
      <w:lvlJc w:val="left"/>
    </w:lvl>
    <w:lvl w:ilvl="5" w:tplc="0238751A">
      <w:numFmt w:val="decimal"/>
      <w:lvlText w:val=""/>
      <w:lvlJc w:val="left"/>
    </w:lvl>
    <w:lvl w:ilvl="6" w:tplc="02C0D4CA">
      <w:numFmt w:val="decimal"/>
      <w:lvlText w:val=""/>
      <w:lvlJc w:val="left"/>
    </w:lvl>
    <w:lvl w:ilvl="7" w:tplc="C1E88E74">
      <w:numFmt w:val="decimal"/>
      <w:lvlText w:val=""/>
      <w:lvlJc w:val="left"/>
    </w:lvl>
    <w:lvl w:ilvl="8" w:tplc="80164560">
      <w:numFmt w:val="decimal"/>
      <w:lvlText w:val=""/>
      <w:lvlJc w:val="left"/>
    </w:lvl>
  </w:abstractNum>
  <w:abstractNum w:abstractNumId="7" w15:restartNumberingAfterBreak="0">
    <w:nsid w:val="6763845E"/>
    <w:multiLevelType w:val="hybridMultilevel"/>
    <w:tmpl w:val="22022DB2"/>
    <w:lvl w:ilvl="0" w:tplc="4F387F22">
      <w:start w:val="216"/>
      <w:numFmt w:val="decimal"/>
      <w:lvlText w:val="%1"/>
      <w:lvlJc w:val="left"/>
    </w:lvl>
    <w:lvl w:ilvl="1" w:tplc="A2AE7D78">
      <w:numFmt w:val="decimal"/>
      <w:lvlText w:val=""/>
      <w:lvlJc w:val="left"/>
    </w:lvl>
    <w:lvl w:ilvl="2" w:tplc="D16810CE">
      <w:numFmt w:val="decimal"/>
      <w:lvlText w:val=""/>
      <w:lvlJc w:val="left"/>
    </w:lvl>
    <w:lvl w:ilvl="3" w:tplc="27483FE6">
      <w:numFmt w:val="decimal"/>
      <w:lvlText w:val=""/>
      <w:lvlJc w:val="left"/>
    </w:lvl>
    <w:lvl w:ilvl="4" w:tplc="E6AACBA8">
      <w:numFmt w:val="decimal"/>
      <w:lvlText w:val=""/>
      <w:lvlJc w:val="left"/>
    </w:lvl>
    <w:lvl w:ilvl="5" w:tplc="60B42D74">
      <w:numFmt w:val="decimal"/>
      <w:lvlText w:val=""/>
      <w:lvlJc w:val="left"/>
    </w:lvl>
    <w:lvl w:ilvl="6" w:tplc="3988930E">
      <w:numFmt w:val="decimal"/>
      <w:lvlText w:val=""/>
      <w:lvlJc w:val="left"/>
    </w:lvl>
    <w:lvl w:ilvl="7" w:tplc="E75EB558">
      <w:numFmt w:val="decimal"/>
      <w:lvlText w:val=""/>
      <w:lvlJc w:val="left"/>
    </w:lvl>
    <w:lvl w:ilvl="8" w:tplc="A48E52FC">
      <w:numFmt w:val="decimal"/>
      <w:lvlText w:val=""/>
      <w:lvlJc w:val="left"/>
    </w:lvl>
  </w:abstractNum>
  <w:abstractNum w:abstractNumId="8" w15:restartNumberingAfterBreak="0">
    <w:nsid w:val="71F32454"/>
    <w:multiLevelType w:val="hybridMultilevel"/>
    <w:tmpl w:val="05D61ABE"/>
    <w:lvl w:ilvl="0" w:tplc="563A4BA4">
      <w:start w:val="226"/>
      <w:numFmt w:val="decimal"/>
      <w:lvlText w:val="%1"/>
      <w:lvlJc w:val="left"/>
    </w:lvl>
    <w:lvl w:ilvl="1" w:tplc="253AA850">
      <w:numFmt w:val="decimal"/>
      <w:lvlText w:val=""/>
      <w:lvlJc w:val="left"/>
    </w:lvl>
    <w:lvl w:ilvl="2" w:tplc="89A63868">
      <w:numFmt w:val="decimal"/>
      <w:lvlText w:val=""/>
      <w:lvlJc w:val="left"/>
    </w:lvl>
    <w:lvl w:ilvl="3" w:tplc="6A98D774">
      <w:numFmt w:val="decimal"/>
      <w:lvlText w:val=""/>
      <w:lvlJc w:val="left"/>
    </w:lvl>
    <w:lvl w:ilvl="4" w:tplc="0B343DD2">
      <w:numFmt w:val="decimal"/>
      <w:lvlText w:val=""/>
      <w:lvlJc w:val="left"/>
    </w:lvl>
    <w:lvl w:ilvl="5" w:tplc="FD0E8406">
      <w:numFmt w:val="decimal"/>
      <w:lvlText w:val=""/>
      <w:lvlJc w:val="left"/>
    </w:lvl>
    <w:lvl w:ilvl="6" w:tplc="70D29476">
      <w:numFmt w:val="decimal"/>
      <w:lvlText w:val=""/>
      <w:lvlJc w:val="left"/>
    </w:lvl>
    <w:lvl w:ilvl="7" w:tplc="0A9426BC">
      <w:numFmt w:val="decimal"/>
      <w:lvlText w:val=""/>
      <w:lvlJc w:val="left"/>
    </w:lvl>
    <w:lvl w:ilvl="8" w:tplc="8006E3F4">
      <w:numFmt w:val="decimal"/>
      <w:lvlText w:val=""/>
      <w:lvlJc w:val="left"/>
    </w:lvl>
  </w:abstractNum>
  <w:abstractNum w:abstractNumId="9" w15:restartNumberingAfterBreak="0">
    <w:nsid w:val="721DA317"/>
    <w:multiLevelType w:val="hybridMultilevel"/>
    <w:tmpl w:val="7F9A9892"/>
    <w:lvl w:ilvl="0" w:tplc="B5C49278">
      <w:start w:val="213"/>
      <w:numFmt w:val="decimal"/>
      <w:lvlText w:val="%1"/>
      <w:lvlJc w:val="left"/>
    </w:lvl>
    <w:lvl w:ilvl="1" w:tplc="98825394">
      <w:numFmt w:val="decimal"/>
      <w:lvlText w:val=""/>
      <w:lvlJc w:val="left"/>
    </w:lvl>
    <w:lvl w:ilvl="2" w:tplc="C630B4D2">
      <w:numFmt w:val="decimal"/>
      <w:lvlText w:val=""/>
      <w:lvlJc w:val="left"/>
    </w:lvl>
    <w:lvl w:ilvl="3" w:tplc="67B283D8">
      <w:numFmt w:val="decimal"/>
      <w:lvlText w:val=""/>
      <w:lvlJc w:val="left"/>
    </w:lvl>
    <w:lvl w:ilvl="4" w:tplc="8222EE2A">
      <w:numFmt w:val="decimal"/>
      <w:lvlText w:val=""/>
      <w:lvlJc w:val="left"/>
    </w:lvl>
    <w:lvl w:ilvl="5" w:tplc="8AC668CE">
      <w:numFmt w:val="decimal"/>
      <w:lvlText w:val=""/>
      <w:lvlJc w:val="left"/>
    </w:lvl>
    <w:lvl w:ilvl="6" w:tplc="2326E576">
      <w:numFmt w:val="decimal"/>
      <w:lvlText w:val=""/>
      <w:lvlJc w:val="left"/>
    </w:lvl>
    <w:lvl w:ilvl="7" w:tplc="93127C82">
      <w:numFmt w:val="decimal"/>
      <w:lvlText w:val=""/>
      <w:lvlJc w:val="left"/>
    </w:lvl>
    <w:lvl w:ilvl="8" w:tplc="12E89B22">
      <w:numFmt w:val="decimal"/>
      <w:lvlText w:val=""/>
      <w:lvlJc w:val="left"/>
    </w:lvl>
  </w:abstractNum>
  <w:abstractNum w:abstractNumId="10" w15:restartNumberingAfterBreak="0">
    <w:nsid w:val="75A2A8D4"/>
    <w:multiLevelType w:val="hybridMultilevel"/>
    <w:tmpl w:val="F9E4546A"/>
    <w:lvl w:ilvl="0" w:tplc="BDC0E836">
      <w:start w:val="217"/>
      <w:numFmt w:val="decimal"/>
      <w:lvlText w:val="%1"/>
      <w:lvlJc w:val="left"/>
    </w:lvl>
    <w:lvl w:ilvl="1" w:tplc="0312128A">
      <w:numFmt w:val="decimal"/>
      <w:lvlText w:val=""/>
      <w:lvlJc w:val="left"/>
    </w:lvl>
    <w:lvl w:ilvl="2" w:tplc="7C28A97E">
      <w:numFmt w:val="decimal"/>
      <w:lvlText w:val=""/>
      <w:lvlJc w:val="left"/>
    </w:lvl>
    <w:lvl w:ilvl="3" w:tplc="EC20132A">
      <w:numFmt w:val="decimal"/>
      <w:lvlText w:val=""/>
      <w:lvlJc w:val="left"/>
    </w:lvl>
    <w:lvl w:ilvl="4" w:tplc="99A60CCC">
      <w:numFmt w:val="decimal"/>
      <w:lvlText w:val=""/>
      <w:lvlJc w:val="left"/>
    </w:lvl>
    <w:lvl w:ilvl="5" w:tplc="66C2B52E">
      <w:numFmt w:val="decimal"/>
      <w:lvlText w:val=""/>
      <w:lvlJc w:val="left"/>
    </w:lvl>
    <w:lvl w:ilvl="6" w:tplc="253272BA">
      <w:numFmt w:val="decimal"/>
      <w:lvlText w:val=""/>
      <w:lvlJc w:val="left"/>
    </w:lvl>
    <w:lvl w:ilvl="7" w:tplc="C098F972">
      <w:numFmt w:val="decimal"/>
      <w:lvlText w:val=""/>
      <w:lvlJc w:val="left"/>
    </w:lvl>
    <w:lvl w:ilvl="8" w:tplc="1F94E742">
      <w:numFmt w:val="decimal"/>
      <w:lvlText w:val=""/>
      <w:lvlJc w:val="left"/>
    </w:lvl>
  </w:abstractNum>
  <w:abstractNum w:abstractNumId="11" w15:restartNumberingAfterBreak="0">
    <w:nsid w:val="79838CB2"/>
    <w:multiLevelType w:val="hybridMultilevel"/>
    <w:tmpl w:val="0CC404DA"/>
    <w:lvl w:ilvl="0" w:tplc="917600C0">
      <w:start w:val="1"/>
      <w:numFmt w:val="bullet"/>
      <w:lvlText w:val="À"/>
      <w:lvlJc w:val="left"/>
    </w:lvl>
    <w:lvl w:ilvl="1" w:tplc="4718D500">
      <w:numFmt w:val="decimal"/>
      <w:lvlText w:val=""/>
      <w:lvlJc w:val="left"/>
    </w:lvl>
    <w:lvl w:ilvl="2" w:tplc="FE546D52">
      <w:numFmt w:val="decimal"/>
      <w:lvlText w:val=""/>
      <w:lvlJc w:val="left"/>
    </w:lvl>
    <w:lvl w:ilvl="3" w:tplc="5BBA88B4">
      <w:numFmt w:val="decimal"/>
      <w:lvlText w:val=""/>
      <w:lvlJc w:val="left"/>
    </w:lvl>
    <w:lvl w:ilvl="4" w:tplc="E21AA220">
      <w:numFmt w:val="decimal"/>
      <w:lvlText w:val=""/>
      <w:lvlJc w:val="left"/>
    </w:lvl>
    <w:lvl w:ilvl="5" w:tplc="351A8A24">
      <w:numFmt w:val="decimal"/>
      <w:lvlText w:val=""/>
      <w:lvlJc w:val="left"/>
    </w:lvl>
    <w:lvl w:ilvl="6" w:tplc="194CC26A">
      <w:numFmt w:val="decimal"/>
      <w:lvlText w:val=""/>
      <w:lvlJc w:val="left"/>
    </w:lvl>
    <w:lvl w:ilvl="7" w:tplc="15B2D684">
      <w:numFmt w:val="decimal"/>
      <w:lvlText w:val=""/>
      <w:lvlJc w:val="left"/>
    </w:lvl>
    <w:lvl w:ilvl="8" w:tplc="444A4864">
      <w:numFmt w:val="decimal"/>
      <w:lvlText w:val=""/>
      <w:lvlJc w:val="left"/>
    </w:lvl>
  </w:abstractNum>
  <w:num w:numId="1">
    <w:abstractNumId w:val="9"/>
  </w:num>
  <w:num w:numId="2">
    <w:abstractNumId w:val="3"/>
  </w:num>
  <w:num w:numId="3">
    <w:abstractNumId w:val="4"/>
  </w:num>
  <w:num w:numId="4">
    <w:abstractNumId w:val="7"/>
  </w:num>
  <w:num w:numId="5">
    <w:abstractNumId w:val="10"/>
  </w:num>
  <w:num w:numId="6">
    <w:abstractNumId w:val="0"/>
  </w:num>
  <w:num w:numId="7">
    <w:abstractNumId w:val="11"/>
  </w:num>
  <w:num w:numId="8">
    <w:abstractNumId w:val="5"/>
  </w:num>
  <w:num w:numId="9">
    <w:abstractNumId w:val="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A6"/>
    <w:rsid w:val="002D25C4"/>
    <w:rsid w:val="004D7ACF"/>
    <w:rsid w:val="00906709"/>
    <w:rsid w:val="00F37B24"/>
    <w:rsid w:val="00FB5B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EAA5"/>
  <w15:chartTrackingRefBased/>
  <w15:docId w15:val="{08CB17C1-8273-4DA0-83F3-244BFEEF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BA6"/>
    <w:pPr>
      <w:spacing w:after="0" w:line="240" w:lineRule="auto"/>
    </w:pPr>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8254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claude.marc1@free.fr</dc:creator>
  <cp:keywords/>
  <dc:description/>
  <cp:lastModifiedBy>Admin</cp:lastModifiedBy>
  <cp:revision>2</cp:revision>
  <dcterms:created xsi:type="dcterms:W3CDTF">2021-06-02T20:59:00Z</dcterms:created>
  <dcterms:modified xsi:type="dcterms:W3CDTF">2021-06-02T20:59:00Z</dcterms:modified>
</cp:coreProperties>
</file>