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F91B" w14:textId="77777777" w:rsidR="006B5582" w:rsidRDefault="00F03CFA">
      <w:pPr>
        <w:pStyle w:val="Titre1"/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7414"/>
        </w:tabs>
        <w:ind w:left="0" w:firstLine="0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614C05C5" wp14:editId="3C8647B5">
            <wp:simplePos x="0" y="0"/>
            <wp:positionH relativeFrom="column">
              <wp:posOffset>19050</wp:posOffset>
            </wp:positionH>
            <wp:positionV relativeFrom="paragraph">
              <wp:posOffset>-60325</wp:posOffset>
            </wp:positionV>
            <wp:extent cx="1971675" cy="1296670"/>
            <wp:effectExtent l="0" t="0" r="0" b="0"/>
            <wp:wrapSquare wrapText="bothSides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i w:val="0"/>
          <w:color w:val="000000"/>
          <w:sz w:val="22"/>
        </w:rPr>
        <w:t xml:space="preserve"> </w:t>
      </w:r>
      <w:r>
        <w:rPr>
          <w:rFonts w:ascii="Calibri" w:eastAsia="Calibri" w:hAnsi="Calibri" w:cs="Calibri"/>
          <w:i w:val="0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i w:val="0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i w:val="0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i w:val="0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i w:val="0"/>
          <w:color w:val="000000"/>
          <w:sz w:val="22"/>
        </w:rPr>
        <w:tab/>
        <w:t xml:space="preserve">  </w:t>
      </w:r>
      <w:r>
        <w:rPr>
          <w:rFonts w:ascii="Calibri" w:eastAsia="Calibri" w:hAnsi="Calibri" w:cs="Calibri"/>
          <w:i w:val="0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i w:val="0"/>
          <w:color w:val="000000"/>
          <w:sz w:val="22"/>
        </w:rPr>
        <w:tab/>
      </w:r>
      <w:r>
        <w:rPr>
          <w:rFonts w:ascii="Calibri" w:eastAsia="Calibri" w:hAnsi="Calibri" w:cs="Calibri"/>
          <w:i w:val="0"/>
          <w:color w:val="000000"/>
          <w:sz w:val="24"/>
        </w:rPr>
        <w:t xml:space="preserve"> </w:t>
      </w:r>
      <w:r>
        <w:t>L’immobilier nouvelle génération</w:t>
      </w:r>
      <w:r>
        <w:rPr>
          <w:sz w:val="48"/>
        </w:rPr>
        <w:t xml:space="preserve"> </w:t>
      </w:r>
    </w:p>
    <w:p w14:paraId="34FE4B4A" w14:textId="77777777" w:rsidR="006B5582" w:rsidRDefault="00F03CFA">
      <w:pPr>
        <w:tabs>
          <w:tab w:val="center" w:pos="7226"/>
        </w:tabs>
        <w:spacing w:after="0"/>
      </w:pPr>
      <w:r>
        <w:rPr>
          <w:sz w:val="36"/>
        </w:rPr>
        <w:t xml:space="preserve"> </w:t>
      </w:r>
      <w:r>
        <w:rPr>
          <w:sz w:val="36"/>
        </w:rPr>
        <w:tab/>
      </w:r>
      <w:r>
        <w:rPr>
          <w:noProof/>
        </w:rPr>
        <w:drawing>
          <wp:inline distT="0" distB="0" distL="0" distR="0" wp14:anchorId="0679CF3D" wp14:editId="0A0FFA88">
            <wp:extent cx="480695" cy="361950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B1E7E" w14:textId="77777777" w:rsidR="006B5582" w:rsidRDefault="00F03CFA">
      <w:pPr>
        <w:spacing w:after="0"/>
        <w:ind w:left="-5" w:hanging="10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                       </w:t>
      </w:r>
    </w:p>
    <w:p w14:paraId="4BED7BA0" w14:textId="77777777" w:rsidR="006B5582" w:rsidRDefault="006B5582">
      <w:pPr>
        <w:spacing w:after="0"/>
        <w:ind w:left="-5" w:hanging="10"/>
        <w:rPr>
          <w:rFonts w:ascii="Times New Roman" w:eastAsia="Times New Roman" w:hAnsi="Times New Roman" w:cs="Times New Roman"/>
          <w:b/>
          <w:sz w:val="36"/>
        </w:rPr>
      </w:pPr>
    </w:p>
    <w:p w14:paraId="70AC7746" w14:textId="77777777" w:rsidR="006B5582" w:rsidRDefault="00F03CFA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Siège : 113 rue Alphée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Mazièras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vertAlign w:val="subscript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24000 PERIGUEUX</w:t>
      </w:r>
    </w:p>
    <w:p w14:paraId="2368A394" w14:textId="77777777" w:rsidR="006B5582" w:rsidRDefault="00F03CFA">
      <w:pPr>
        <w:spacing w:after="0"/>
        <w:ind w:left="-5" w:right="-1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09.81.69.31.21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63C1"/>
          <w:sz w:val="20"/>
          <w:u w:val="single" w:color="0563C1"/>
        </w:rPr>
        <w:t>contact@openimmobilier.immo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</w:t>
      </w:r>
      <w:hyperlink r:id="rId7">
        <w:r>
          <w:rPr>
            <w:rStyle w:val="ListLabel10"/>
          </w:rPr>
          <w:t xml:space="preserve"> </w:t>
        </w:r>
      </w:hyperlink>
      <w:hyperlink r:id="rId8">
        <w:r>
          <w:rPr>
            <w:rStyle w:val="ListLabel11"/>
          </w:rPr>
          <w:t>www.openimmobilier.immo</w:t>
        </w:r>
      </w:hyperlink>
      <w:hyperlink r:id="rId9">
        <w:r>
          <w:rPr>
            <w:rStyle w:val="ListLabel10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0583505" w14:textId="77777777" w:rsidR="006B5582" w:rsidRDefault="00F03CFA">
      <w:pPr>
        <w:spacing w:after="0"/>
        <w:ind w:left="3540"/>
        <w:rPr>
          <w:rFonts w:ascii="Times New Roman" w:eastAsia="Times New Roman" w:hAnsi="Times New Roman" w:cs="Times New Roman"/>
          <w:b/>
          <w:sz w:val="24"/>
        </w:rPr>
      </w:pPr>
      <w:r>
        <w:t xml:space="preserve">           </w:t>
      </w:r>
      <w:r>
        <w:rPr>
          <w:rFonts w:ascii="Times New Roman" w:eastAsia="Times New Roman" w:hAnsi="Times New Roman" w:cs="Times New Roman"/>
          <w:b/>
          <w:sz w:val="24"/>
        </w:rPr>
        <w:t>Succursale : 12 rue de Cognac 16290 HIERSAC</w:t>
      </w:r>
    </w:p>
    <w:p w14:paraId="52F6A289" w14:textId="77777777" w:rsidR="006B5582" w:rsidRDefault="00F03CFA">
      <w:pPr>
        <w:spacing w:after="0"/>
        <w:ind w:left="354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05 45 67 49 38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hiersaccharentes@openimmobilier.immo</w:t>
      </w:r>
      <w:proofErr w:type="spellEnd"/>
    </w:p>
    <w:p w14:paraId="5AC63191" w14:textId="77777777" w:rsidR="006B5582" w:rsidRDefault="006B5582">
      <w:pPr>
        <w:spacing w:after="31"/>
      </w:pPr>
    </w:p>
    <w:p w14:paraId="00688110" w14:textId="77777777" w:rsidR="006B5582" w:rsidRDefault="00F03CFA">
      <w:pPr>
        <w:spacing w:after="249"/>
        <w:ind w:left="14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42C002E" w14:textId="77777777" w:rsidR="006B5582" w:rsidRDefault="00F03CFA">
      <w:pPr>
        <w:pStyle w:val="Titre2"/>
      </w:pPr>
      <w:r>
        <w:t>BAREME D’HONORAIRES : TRANSACTION</w:t>
      </w:r>
      <w:r>
        <w:rPr>
          <w:sz w:val="52"/>
          <w:u w:val="none"/>
        </w:rPr>
        <w:t xml:space="preserve"> </w:t>
      </w:r>
    </w:p>
    <w:p w14:paraId="670FB57C" w14:textId="5CE35F40" w:rsidR="006B5582" w:rsidRDefault="00F03CFA">
      <w:pPr>
        <w:spacing w:after="0"/>
        <w:ind w:left="708" w:right="3491" w:firstLine="1496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</w:rPr>
        <w:t xml:space="preserve">Applicable à compter du </w:t>
      </w:r>
      <w:r w:rsidR="00B96FC5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/01/202</w:t>
      </w:r>
      <w:r w:rsidR="00B96FC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 xml:space="preserve">        </w:t>
      </w:r>
      <w:r>
        <w:rPr>
          <w:sz w:val="24"/>
          <w:szCs w:val="24"/>
          <w:u w:val="single"/>
        </w:rPr>
        <w:t>Honorai</w:t>
      </w:r>
      <w:r>
        <w:rPr>
          <w:sz w:val="24"/>
          <w:szCs w:val="24"/>
          <w:u w:val="single"/>
        </w:rPr>
        <w:t>res à la charge de l’acquéreur sauf accord particulier</w:t>
      </w:r>
      <w:r>
        <w:rPr>
          <w:sz w:val="36"/>
        </w:rPr>
        <w:t xml:space="preserve"> </w:t>
      </w:r>
    </w:p>
    <w:tbl>
      <w:tblPr>
        <w:tblStyle w:val="TableGrid"/>
        <w:tblW w:w="9499" w:type="dxa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1" w:type="dxa"/>
          <w:left w:w="-5" w:type="dxa"/>
          <w:right w:w="115" w:type="dxa"/>
        </w:tblCellMar>
        <w:tblLook w:val="04A0" w:firstRow="1" w:lastRow="0" w:firstColumn="1" w:lastColumn="0" w:noHBand="0" w:noVBand="1"/>
      </w:tblPr>
      <w:tblGrid>
        <w:gridCol w:w="2553"/>
        <w:gridCol w:w="6946"/>
      </w:tblGrid>
      <w:tr w:rsidR="006B5582" w14:paraId="764E9ED3" w14:textId="77777777">
        <w:trPr>
          <w:trHeight w:val="26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236ED" w14:textId="77777777" w:rsidR="006B5582" w:rsidRDefault="006B5582">
            <w:pPr>
              <w:spacing w:after="0" w:line="240" w:lineRule="auto"/>
            </w:pP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1CFB" w14:textId="77777777" w:rsidR="006B5582" w:rsidRDefault="00F03CFA">
            <w:pPr>
              <w:spacing w:after="0" w:line="240" w:lineRule="auto"/>
              <w:ind w:left="-2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Immeubles à usage d’habitation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ou Terrain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582" w14:paraId="02594F1C" w14:textId="77777777">
        <w:trPr>
          <w:trHeight w:val="51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FF618" w14:textId="77777777" w:rsidR="006B5582" w:rsidRDefault="00F03CFA">
            <w:pPr>
              <w:spacing w:after="0" w:line="240" w:lineRule="auto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Prix net vendeur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0D0DB" w14:textId="77777777" w:rsidR="006B5582" w:rsidRDefault="00F03C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Montant des honoraires agence de négociation (T.T.C.*) en sus du prix net vendeur </w:t>
            </w:r>
          </w:p>
        </w:tc>
      </w:tr>
      <w:tr w:rsidR="006B5582" w14:paraId="2D9373E8" w14:textId="77777777" w:rsidTr="00E0052E">
        <w:trPr>
          <w:trHeight w:val="56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87B7" w14:textId="77777777" w:rsidR="006B5582" w:rsidRPr="00E240AA" w:rsidRDefault="00F03CFA">
            <w:pPr>
              <w:spacing w:after="0" w:line="240" w:lineRule="auto"/>
              <w:ind w:left="165"/>
              <w:jc w:val="center"/>
              <w:rPr>
                <w:sz w:val="20"/>
                <w:szCs w:val="20"/>
              </w:rPr>
            </w:pP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82F4735" w14:textId="77777777" w:rsidR="006B5582" w:rsidRPr="00E240AA" w:rsidRDefault="00F03CFA">
            <w:pPr>
              <w:spacing w:after="0" w:line="240" w:lineRule="auto"/>
              <w:ind w:left="114"/>
              <w:jc w:val="center"/>
              <w:rPr>
                <w:sz w:val="20"/>
                <w:szCs w:val="20"/>
              </w:rPr>
            </w:pP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>De 1€ à 15 000 €</w:t>
            </w:r>
          </w:p>
          <w:p w14:paraId="38CB90EC" w14:textId="77777777" w:rsidR="006B5582" w:rsidRPr="00E240AA" w:rsidRDefault="00F03CFA">
            <w:pPr>
              <w:spacing w:after="0" w:line="240" w:lineRule="auto"/>
              <w:ind w:left="165"/>
              <w:jc w:val="center"/>
              <w:rPr>
                <w:sz w:val="20"/>
                <w:szCs w:val="20"/>
              </w:rPr>
            </w:pP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9150" w14:textId="77777777" w:rsidR="006B5582" w:rsidRDefault="00F03CFA">
            <w:pPr>
              <w:spacing w:after="9" w:line="24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6A9342" w14:textId="77777777" w:rsidR="006B5582" w:rsidRDefault="00F03CFA">
            <w:pPr>
              <w:spacing w:after="0" w:line="240" w:lineRule="auto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1 500 € </w:t>
            </w:r>
          </w:p>
          <w:p w14:paraId="71A04C13" w14:textId="77777777" w:rsidR="006B5582" w:rsidRDefault="00F03CFA">
            <w:pPr>
              <w:spacing w:after="0" w:line="240" w:lineRule="auto"/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582" w14:paraId="345BA8F8" w14:textId="77777777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60A1" w14:textId="77777777" w:rsidR="006B5582" w:rsidRPr="00E240AA" w:rsidRDefault="00F03CFA">
            <w:pPr>
              <w:spacing w:after="0" w:line="240" w:lineRule="auto"/>
              <w:ind w:left="165"/>
              <w:jc w:val="center"/>
              <w:rPr>
                <w:sz w:val="20"/>
                <w:szCs w:val="20"/>
              </w:rPr>
            </w:pP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DD1AFB1" w14:textId="77777777" w:rsidR="006B5582" w:rsidRPr="00E240AA" w:rsidRDefault="00F03CFA">
            <w:pPr>
              <w:spacing w:after="0" w:line="240" w:lineRule="auto"/>
              <w:ind w:left="112"/>
              <w:jc w:val="center"/>
              <w:rPr>
                <w:sz w:val="20"/>
                <w:szCs w:val="20"/>
              </w:rPr>
            </w:pP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15 001 € à 30 000 € </w:t>
            </w:r>
          </w:p>
          <w:p w14:paraId="704E03C5" w14:textId="77777777" w:rsidR="006B5582" w:rsidRPr="00E240AA" w:rsidRDefault="00F03CFA">
            <w:pPr>
              <w:spacing w:after="0" w:line="240" w:lineRule="auto"/>
              <w:ind w:left="165"/>
              <w:jc w:val="center"/>
              <w:rPr>
                <w:sz w:val="20"/>
                <w:szCs w:val="20"/>
              </w:rPr>
            </w:pP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A11C" w14:textId="77777777" w:rsidR="006B5582" w:rsidRDefault="00F03CFA">
            <w:pPr>
              <w:spacing w:after="0" w:line="240" w:lineRule="auto"/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78BBD0" w14:textId="77777777" w:rsidR="006B5582" w:rsidRDefault="00F03CFA">
            <w:pPr>
              <w:spacing w:after="0" w:line="240" w:lineRule="auto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3 000 € </w:t>
            </w:r>
          </w:p>
          <w:p w14:paraId="4EC9F227" w14:textId="77777777" w:rsidR="006B5582" w:rsidRDefault="00F03CFA">
            <w:pPr>
              <w:spacing w:after="0" w:line="240" w:lineRule="auto"/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582" w14:paraId="77307344" w14:textId="77777777">
        <w:trPr>
          <w:trHeight w:val="76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E1407" w14:textId="77777777" w:rsidR="006B5582" w:rsidRPr="00E240AA" w:rsidRDefault="00F03CFA">
            <w:pPr>
              <w:spacing w:after="0" w:line="240" w:lineRule="auto"/>
              <w:ind w:left="165"/>
              <w:jc w:val="center"/>
              <w:rPr>
                <w:sz w:val="20"/>
                <w:szCs w:val="20"/>
              </w:rPr>
            </w:pP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9031388" w14:textId="79D8A5D6" w:rsidR="006B5582" w:rsidRPr="00E240AA" w:rsidRDefault="00F03CFA">
            <w:pPr>
              <w:spacing w:after="0" w:line="240" w:lineRule="auto"/>
              <w:ind w:left="112"/>
              <w:jc w:val="center"/>
              <w:rPr>
                <w:sz w:val="20"/>
                <w:szCs w:val="20"/>
              </w:rPr>
            </w:pP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30 001 € à </w:t>
            </w:r>
            <w:r w:rsidR="000A24E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E240AA"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€ </w:t>
            </w:r>
          </w:p>
          <w:p w14:paraId="56110AB7" w14:textId="77777777" w:rsidR="006B5582" w:rsidRPr="00E240AA" w:rsidRDefault="00F03CFA">
            <w:pPr>
              <w:spacing w:after="0" w:line="240" w:lineRule="auto"/>
              <w:ind w:left="165"/>
              <w:jc w:val="center"/>
              <w:rPr>
                <w:sz w:val="20"/>
                <w:szCs w:val="20"/>
              </w:rPr>
            </w:pP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052A" w14:textId="77777777" w:rsidR="006B5582" w:rsidRDefault="00F03CFA">
            <w:pPr>
              <w:spacing w:after="0" w:line="240" w:lineRule="auto"/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3411AC" w14:textId="10F3A618" w:rsidR="006B5582" w:rsidRDefault="00A71F3F">
            <w:pPr>
              <w:spacing w:after="0" w:line="240" w:lineRule="auto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13D01">
              <w:rPr>
                <w:rFonts w:ascii="Times New Roman" w:eastAsia="Times New Roman" w:hAnsi="Times New Roman" w:cs="Times New Roman"/>
              </w:rPr>
              <w:t>4000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03CFA">
              <w:rPr>
                <w:rFonts w:ascii="Times New Roman" w:eastAsia="Times New Roman" w:hAnsi="Times New Roman" w:cs="Times New Roman"/>
              </w:rPr>
              <w:t xml:space="preserve">€  </w:t>
            </w:r>
          </w:p>
          <w:p w14:paraId="0996BF2A" w14:textId="77777777" w:rsidR="006B5582" w:rsidRDefault="00F03CFA">
            <w:pPr>
              <w:spacing w:after="0" w:line="240" w:lineRule="auto"/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582" w14:paraId="256545D6" w14:textId="77777777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DCB6" w14:textId="77777777" w:rsidR="006B5582" w:rsidRPr="00E240AA" w:rsidRDefault="00F03CFA">
            <w:pPr>
              <w:spacing w:after="0" w:line="240" w:lineRule="auto"/>
              <w:ind w:left="165"/>
              <w:jc w:val="center"/>
              <w:rPr>
                <w:sz w:val="20"/>
                <w:szCs w:val="20"/>
              </w:rPr>
            </w:pP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699DFE7" w14:textId="386650E1" w:rsidR="006B5582" w:rsidRPr="00E240AA" w:rsidRDefault="00F03CFA">
            <w:pPr>
              <w:spacing w:after="0" w:line="240" w:lineRule="auto"/>
              <w:ind w:left="114"/>
              <w:jc w:val="center"/>
              <w:rPr>
                <w:sz w:val="20"/>
                <w:szCs w:val="20"/>
              </w:rPr>
            </w:pP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</w:t>
            </w:r>
            <w:r w:rsidR="000A24E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001 € à </w:t>
            </w:r>
            <w:r w:rsidR="000A24E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E240AA"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€</w:t>
            </w:r>
          </w:p>
          <w:p w14:paraId="582F53B8" w14:textId="77777777" w:rsidR="006B5582" w:rsidRPr="00E240AA" w:rsidRDefault="00F03CFA">
            <w:pPr>
              <w:spacing w:after="0" w:line="240" w:lineRule="auto"/>
              <w:ind w:left="165"/>
              <w:jc w:val="center"/>
              <w:rPr>
                <w:sz w:val="20"/>
                <w:szCs w:val="20"/>
              </w:rPr>
            </w:pP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9987" w14:textId="77777777" w:rsidR="006B5582" w:rsidRDefault="00F03CFA">
            <w:pPr>
              <w:spacing w:after="0" w:line="240" w:lineRule="auto"/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98F7C0" w14:textId="160122A9" w:rsidR="006B5582" w:rsidRDefault="00B13D01">
            <w:pPr>
              <w:spacing w:after="0" w:line="240" w:lineRule="auto"/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</w:rPr>
              <w:t>4500</w:t>
            </w:r>
            <w:r w:rsidR="00E240AA">
              <w:rPr>
                <w:rFonts w:ascii="Times New Roman" w:eastAsia="Times New Roman" w:hAnsi="Times New Roman" w:cs="Times New Roman"/>
              </w:rPr>
              <w:t xml:space="preserve"> €</w:t>
            </w:r>
            <w:r w:rsidR="00F03CF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582" w14:paraId="7DB351DC" w14:textId="77777777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B0EE" w14:textId="77777777" w:rsidR="00E240AA" w:rsidRPr="00E240AA" w:rsidRDefault="00E240AA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C294B8" w14:textId="4CF78D8E" w:rsidR="006B5582" w:rsidRPr="00E240AA" w:rsidRDefault="00E240AA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</w:t>
            </w:r>
            <w:r w:rsidR="000A24E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001 € à </w:t>
            </w:r>
            <w:r w:rsidR="000A24E6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€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03061" w14:textId="77777777" w:rsidR="006B5582" w:rsidRDefault="006B5582">
            <w:pPr>
              <w:spacing w:after="0" w:line="240" w:lineRule="auto"/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DCFBC4" w14:textId="693F7E03" w:rsidR="006B5582" w:rsidRDefault="00E240AA" w:rsidP="00E240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  <w:r w:rsidR="000A24E6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B13D01">
              <w:rPr>
                <w:rFonts w:ascii="Times New Roman" w:eastAsia="Times New Roman" w:hAnsi="Times New Roman" w:cs="Times New Roman"/>
              </w:rPr>
              <w:t>5000</w:t>
            </w:r>
            <w:r>
              <w:rPr>
                <w:rFonts w:ascii="Times New Roman" w:eastAsia="Times New Roman" w:hAnsi="Times New Roman" w:cs="Times New Roman"/>
              </w:rPr>
              <w:t xml:space="preserve"> €</w:t>
            </w:r>
          </w:p>
        </w:tc>
      </w:tr>
      <w:tr w:rsidR="006B5582" w14:paraId="4FB09F49" w14:textId="77777777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5F2" w14:textId="77777777" w:rsidR="006B5582" w:rsidRPr="00E240AA" w:rsidRDefault="006B5582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4BED06" w14:textId="55067644" w:rsidR="006B5582" w:rsidRPr="00E240AA" w:rsidRDefault="00F03CFA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>De 1</w:t>
            </w:r>
            <w:r w:rsidR="000A2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26C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>001 € à 1</w:t>
            </w:r>
            <w:r w:rsidR="00B13D0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13D0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€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DF89" w14:textId="77777777" w:rsidR="006B5582" w:rsidRDefault="006B5582">
            <w:pPr>
              <w:spacing w:after="0" w:line="240" w:lineRule="auto"/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1C7B3D" w14:textId="73F4004B" w:rsidR="006B5582" w:rsidRDefault="008F01C6">
            <w:pPr>
              <w:spacing w:after="0" w:line="240" w:lineRule="auto"/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6</w:t>
            </w:r>
            <w:r w:rsidR="00B13D01">
              <w:rPr>
                <w:rFonts w:ascii="Times New Roman" w:eastAsia="Times New Roman" w:hAnsi="Times New Roman" w:cs="Times New Roman"/>
              </w:rPr>
              <w:t>000 €</w:t>
            </w:r>
            <w:r w:rsidR="00526C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582" w14:paraId="37DE4A20" w14:textId="77777777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A257" w14:textId="77777777" w:rsidR="006B5582" w:rsidRPr="00E240AA" w:rsidRDefault="006B5582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EFAFE3" w14:textId="6660C3B2" w:rsidR="006B5582" w:rsidRPr="00E240AA" w:rsidRDefault="00F03CFA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</w:t>
            </w:r>
            <w:r w:rsidR="00B13D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B13D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€ à </w:t>
            </w:r>
            <w:r w:rsidR="00B13D01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>000 €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477F" w14:textId="77777777" w:rsidR="006B5582" w:rsidRDefault="006B5582">
            <w:pPr>
              <w:spacing w:after="0" w:line="240" w:lineRule="auto"/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32972C" w14:textId="724E9F7D" w:rsidR="006B5582" w:rsidRDefault="008F01C6" w:rsidP="008F01C6">
            <w:pPr>
              <w:spacing w:after="0" w:line="240" w:lineRule="auto"/>
              <w:ind w:left="172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</w:t>
            </w:r>
            <w:r w:rsidR="00B13D01">
              <w:rPr>
                <w:rFonts w:ascii="Times New Roman" w:eastAsia="Times New Roman" w:hAnsi="Times New Roman" w:cs="Times New Roman"/>
              </w:rPr>
              <w:t>6.</w:t>
            </w:r>
            <w:r w:rsidR="00F03CFA">
              <w:rPr>
                <w:rFonts w:ascii="Times New Roman" w:eastAsia="Times New Roman" w:hAnsi="Times New Roman" w:cs="Times New Roman"/>
              </w:rPr>
              <w:t>2</w:t>
            </w:r>
            <w:r w:rsidR="00B13D01">
              <w:rPr>
                <w:rFonts w:ascii="Times New Roman" w:eastAsia="Times New Roman" w:hAnsi="Times New Roman" w:cs="Times New Roman"/>
              </w:rPr>
              <w:t xml:space="preserve"> </w:t>
            </w:r>
            <w:r w:rsidR="00F03CFA">
              <w:rPr>
                <w:rFonts w:ascii="Times New Roman" w:eastAsia="Times New Roman" w:hAnsi="Times New Roman" w:cs="Times New Roman"/>
              </w:rPr>
              <w:t xml:space="preserve">% </w:t>
            </w:r>
            <w:r w:rsidR="00526C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5582" w14:paraId="729C9FB6" w14:textId="77777777">
        <w:trPr>
          <w:trHeight w:val="7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90FA" w14:textId="6E4F476A" w:rsidR="006B5582" w:rsidRPr="00E240AA" w:rsidRDefault="006B5582" w:rsidP="008F01C6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9CC17A" w14:textId="603F4C11" w:rsidR="006B5582" w:rsidRPr="00E240AA" w:rsidRDefault="008F01C6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</w:t>
            </w:r>
            <w:r w:rsidR="00B13D01">
              <w:rPr>
                <w:rFonts w:ascii="Times New Roman" w:eastAsia="Times New Roman" w:hAnsi="Times New Roman" w:cs="Times New Roman"/>
                <w:sz w:val="20"/>
                <w:szCs w:val="20"/>
              </w:rPr>
              <w:t>149 </w:t>
            </w:r>
            <w:r w:rsidR="00F03CFA"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B1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F03CFA" w:rsidRPr="00E240AA"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à </w:t>
            </w:r>
            <w:r w:rsidR="00B13D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00 000 €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4C6C" w14:textId="77777777" w:rsidR="006B5582" w:rsidRDefault="006B5582">
            <w:pPr>
              <w:spacing w:after="0" w:line="240" w:lineRule="auto"/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FBA2AE" w14:textId="51DACE8A" w:rsidR="006B5582" w:rsidRDefault="000343B6">
            <w:pPr>
              <w:spacing w:after="0" w:line="240" w:lineRule="auto"/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5.</w:t>
            </w:r>
            <w:r w:rsidR="00F03CFA">
              <w:rPr>
                <w:rFonts w:ascii="Times New Roman" w:eastAsia="Times New Roman" w:hAnsi="Times New Roman" w:cs="Times New Roman"/>
              </w:rPr>
              <w:t>2</w:t>
            </w:r>
            <w:r w:rsidR="00F03CFA">
              <w:rPr>
                <w:rFonts w:ascii="Times New Roman" w:eastAsia="Times New Roman" w:hAnsi="Times New Roman" w:cs="Times New Roman"/>
              </w:rPr>
              <w:t xml:space="preserve">% </w:t>
            </w:r>
            <w:r w:rsidR="00F03CF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23FE69D" w14:textId="1F9D66E7" w:rsidR="008F01C6" w:rsidRDefault="008F01C6" w:rsidP="008F01C6">
      <w:pPr>
        <w:spacing w:after="0"/>
        <w:rPr>
          <w:rFonts w:ascii="Times New Roman" w:eastAsia="Times New Roman" w:hAnsi="Times New Roman" w:cs="Times New Roman"/>
          <w:sz w:val="18"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8F01C6" w14:paraId="24A8129A" w14:textId="6A94B4BE" w:rsidTr="008F01C6">
        <w:trPr>
          <w:trHeight w:val="670"/>
        </w:trPr>
        <w:tc>
          <w:tcPr>
            <w:tcW w:w="2552" w:type="dxa"/>
          </w:tcPr>
          <w:p w14:paraId="1BA26A87" w14:textId="77777777" w:rsidR="008F01C6" w:rsidRDefault="008F01C6" w:rsidP="008F01C6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DC1CD56" w14:textId="5C24A503" w:rsidR="008F01C6" w:rsidRDefault="00E0052E" w:rsidP="008F01C6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  <w:r w:rsidR="008F01C6">
              <w:rPr>
                <w:rFonts w:ascii="Times New Roman" w:eastAsia="Times New Roman" w:hAnsi="Times New Roman" w:cs="Times New Roman"/>
                <w:sz w:val="18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18"/>
              </w:rPr>
              <w:t>200 001 € à 250 000 €</w:t>
            </w:r>
          </w:p>
        </w:tc>
        <w:tc>
          <w:tcPr>
            <w:tcW w:w="6946" w:type="dxa"/>
          </w:tcPr>
          <w:p w14:paraId="758F2305" w14:textId="28CAD10F" w:rsidR="008F01C6" w:rsidRDefault="008F01C6" w:rsidP="008F01C6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2EEF1291" w14:textId="28381E89" w:rsidR="008F01C6" w:rsidRDefault="008F01C6" w:rsidP="008F01C6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      </w:t>
            </w:r>
            <w:r w:rsidR="00E0052E"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="00B96FC5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</w:tbl>
    <w:p w14:paraId="098B23FE" w14:textId="77777777" w:rsidR="00E0052E" w:rsidRPr="008F01C6" w:rsidRDefault="008F01C6" w:rsidP="008F01C6">
      <w:pPr>
        <w:spacing w:after="0"/>
        <w:rPr>
          <w:rFonts w:ascii="Times New Roman" w:eastAsia="Times New Roman" w:hAnsi="Times New Roman" w:cs="Times New Roman"/>
          <w:sz w:val="18"/>
        </w:rPr>
      </w:pPr>
      <w:r w:rsidRPr="008F01C6">
        <w:rPr>
          <w:rFonts w:ascii="Times New Roman" w:eastAsia="Times New Roman" w:hAnsi="Times New Roman" w:cs="Times New Roman"/>
          <w:sz w:val="18"/>
        </w:rPr>
        <w:t xml:space="preserve">            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E0052E" w14:paraId="3B7387A3" w14:textId="77777777" w:rsidTr="00E0052E">
        <w:tc>
          <w:tcPr>
            <w:tcW w:w="2552" w:type="dxa"/>
          </w:tcPr>
          <w:p w14:paraId="5D481791" w14:textId="22EF0368" w:rsidR="00E0052E" w:rsidRDefault="00E0052E" w:rsidP="008F01C6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bookmarkStart w:id="0" w:name="_Hlk62489770"/>
            <w:r>
              <w:rPr>
                <w:rFonts w:ascii="Times New Roman" w:eastAsia="Times New Roman" w:hAnsi="Times New Roman" w:cs="Times New Roman"/>
                <w:sz w:val="18"/>
              </w:rPr>
              <w:t xml:space="preserve"> De 250 001 € à 300 000 € </w:t>
            </w:r>
          </w:p>
        </w:tc>
        <w:tc>
          <w:tcPr>
            <w:tcW w:w="6946" w:type="dxa"/>
          </w:tcPr>
          <w:p w14:paraId="31BD04F2" w14:textId="4C2C2D20" w:rsidR="00E0052E" w:rsidRDefault="00E0052E" w:rsidP="008F01C6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       4, 5%</w:t>
            </w:r>
          </w:p>
        </w:tc>
      </w:tr>
    </w:tbl>
    <w:p w14:paraId="51BA87FF" w14:textId="77777777" w:rsidR="00E0052E" w:rsidRPr="008F01C6" w:rsidRDefault="008F01C6" w:rsidP="008F01C6">
      <w:pPr>
        <w:spacing w:after="0"/>
        <w:rPr>
          <w:rFonts w:ascii="Times New Roman" w:eastAsia="Times New Roman" w:hAnsi="Times New Roman" w:cs="Times New Roman"/>
          <w:sz w:val="18"/>
        </w:rPr>
      </w:pPr>
      <w:r w:rsidRPr="008F01C6">
        <w:rPr>
          <w:rFonts w:ascii="Times New Roman" w:eastAsia="Times New Roman" w:hAnsi="Times New Roman" w:cs="Times New Roman"/>
          <w:sz w:val="18"/>
        </w:rPr>
        <w:t xml:space="preserve">  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E0052E" w14:paraId="7BE98EBE" w14:textId="77777777" w:rsidTr="00E0052E">
        <w:tc>
          <w:tcPr>
            <w:tcW w:w="2552" w:type="dxa"/>
          </w:tcPr>
          <w:p w14:paraId="61149F03" w14:textId="60F19D1A" w:rsidR="00E0052E" w:rsidRDefault="00E0052E" w:rsidP="008F01C6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De 300 001 € à 600 000 €</w:t>
            </w:r>
          </w:p>
        </w:tc>
        <w:tc>
          <w:tcPr>
            <w:tcW w:w="6946" w:type="dxa"/>
          </w:tcPr>
          <w:p w14:paraId="6F251027" w14:textId="456F0447" w:rsidR="00E0052E" w:rsidRDefault="00E0052E" w:rsidP="008F01C6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       4 %</w:t>
            </w:r>
          </w:p>
        </w:tc>
      </w:tr>
    </w:tbl>
    <w:p w14:paraId="6C35090A" w14:textId="0AF15D7A" w:rsidR="00E0052E" w:rsidRPr="008F01C6" w:rsidRDefault="008F01C6" w:rsidP="008F01C6">
      <w:pPr>
        <w:spacing w:after="0"/>
        <w:rPr>
          <w:rFonts w:ascii="Times New Roman" w:eastAsia="Times New Roman" w:hAnsi="Times New Roman" w:cs="Times New Roman"/>
          <w:sz w:val="18"/>
        </w:rPr>
      </w:pPr>
      <w:r w:rsidRPr="008F01C6">
        <w:rPr>
          <w:rFonts w:ascii="Times New Roman" w:eastAsia="Times New Roman" w:hAnsi="Times New Roman" w:cs="Times New Roman"/>
          <w:sz w:val="18"/>
        </w:rPr>
        <w:t xml:space="preserve">                                            </w:t>
      </w:r>
      <w:bookmarkEnd w:id="0"/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E0052E" w14:paraId="4CD7C7C8" w14:textId="77777777" w:rsidTr="00E0052E">
        <w:tc>
          <w:tcPr>
            <w:tcW w:w="2552" w:type="dxa"/>
          </w:tcPr>
          <w:p w14:paraId="40AB42DF" w14:textId="7973AF0A" w:rsidR="00E0052E" w:rsidRDefault="00E0052E" w:rsidP="008F01C6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De 600 001 € à plus </w:t>
            </w:r>
          </w:p>
        </w:tc>
        <w:tc>
          <w:tcPr>
            <w:tcW w:w="6946" w:type="dxa"/>
          </w:tcPr>
          <w:p w14:paraId="05313C02" w14:textId="37497894" w:rsidR="00E0052E" w:rsidRDefault="00E0052E" w:rsidP="008F01C6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        3%</w:t>
            </w:r>
          </w:p>
        </w:tc>
      </w:tr>
    </w:tbl>
    <w:p w14:paraId="2F2D468F" w14:textId="61A9E8E9" w:rsidR="006B5582" w:rsidRPr="008F01C6" w:rsidRDefault="00E0052E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</w:t>
      </w:r>
      <w:r w:rsidR="00F03CFA">
        <w:rPr>
          <w:rFonts w:ascii="Times New Roman" w:eastAsia="Times New Roman" w:hAnsi="Times New Roman" w:cs="Times New Roman"/>
          <w:sz w:val="18"/>
        </w:rPr>
        <w:t xml:space="preserve">*TVA en vigueur au moment de l’acte </w:t>
      </w:r>
    </w:p>
    <w:p w14:paraId="76F8AC58" w14:textId="77777777" w:rsidR="006B5582" w:rsidRDefault="00F03CFA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</w:t>
      </w:r>
    </w:p>
    <w:p w14:paraId="0B147946" w14:textId="77777777" w:rsidR="008F01C6" w:rsidRDefault="00F03CFA">
      <w:pPr>
        <w:spacing w:after="217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</w:t>
      </w:r>
    </w:p>
    <w:p w14:paraId="7CD6136C" w14:textId="77777777" w:rsidR="008F01C6" w:rsidRDefault="008F01C6">
      <w:pPr>
        <w:spacing w:after="217"/>
        <w:rPr>
          <w:rFonts w:ascii="Times New Roman" w:eastAsia="Times New Roman" w:hAnsi="Times New Roman" w:cs="Times New Roman"/>
          <w:b/>
          <w:sz w:val="32"/>
        </w:rPr>
      </w:pPr>
    </w:p>
    <w:p w14:paraId="057787C1" w14:textId="77777777" w:rsidR="008F01C6" w:rsidRDefault="008F01C6">
      <w:pPr>
        <w:spacing w:after="217"/>
        <w:rPr>
          <w:rFonts w:ascii="Times New Roman" w:eastAsia="Times New Roman" w:hAnsi="Times New Roman" w:cs="Times New Roman"/>
          <w:b/>
          <w:sz w:val="32"/>
        </w:rPr>
      </w:pPr>
    </w:p>
    <w:p w14:paraId="3CF8A85A" w14:textId="3BB40D85" w:rsidR="006B5582" w:rsidRDefault="00F03CFA">
      <w:pPr>
        <w:spacing w:after="217"/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fonds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de commerces : 10 % maximum du prix de vente  </w:t>
      </w:r>
    </w:p>
    <w:p w14:paraId="2A5F4C41" w14:textId="77777777" w:rsidR="006B5582" w:rsidRDefault="006B5582">
      <w:pPr>
        <w:pStyle w:val="Titre2"/>
        <w:ind w:right="2"/>
      </w:pPr>
    </w:p>
    <w:p w14:paraId="24FD1F00" w14:textId="77777777" w:rsidR="006B5582" w:rsidRDefault="006B5582">
      <w:pPr>
        <w:pStyle w:val="Titre2"/>
        <w:ind w:right="2"/>
      </w:pPr>
    </w:p>
    <w:p w14:paraId="1D9AFE1F" w14:textId="77777777" w:rsidR="006B5582" w:rsidRDefault="006B5582">
      <w:pPr>
        <w:pStyle w:val="Titre2"/>
        <w:ind w:right="2"/>
      </w:pPr>
    </w:p>
    <w:p w14:paraId="5E13AACD" w14:textId="77777777" w:rsidR="006B5582" w:rsidRDefault="006B5582">
      <w:pPr>
        <w:pStyle w:val="Titre2"/>
        <w:ind w:right="2"/>
      </w:pPr>
    </w:p>
    <w:p w14:paraId="338C5583" w14:textId="77777777" w:rsidR="006B5582" w:rsidRDefault="00F03CFA">
      <w:pPr>
        <w:pStyle w:val="Titre2"/>
        <w:ind w:right="2"/>
      </w:pPr>
      <w:r>
        <w:t>BAREME D’HONORAIRES : LOCATION</w:t>
      </w:r>
      <w:r>
        <w:rPr>
          <w:sz w:val="52"/>
          <w:u w:val="none"/>
        </w:rPr>
        <w:t xml:space="preserve"> </w:t>
      </w:r>
    </w:p>
    <w:p w14:paraId="29B950AB" w14:textId="77777777" w:rsidR="006B5582" w:rsidRDefault="00F03CFA">
      <w:pPr>
        <w:pStyle w:val="Titre3"/>
        <w:ind w:left="87" w:right="0"/>
      </w:pPr>
      <w:r>
        <w:t xml:space="preserve">Applicable à compter du 01/01/2020 </w:t>
      </w:r>
    </w:p>
    <w:p w14:paraId="45586DF0" w14:textId="77777777" w:rsidR="006B5582" w:rsidRDefault="00F03CF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8350" w:type="dxa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8350"/>
      </w:tblGrid>
      <w:tr w:rsidR="006B5582" w14:paraId="47DEC9EA" w14:textId="77777777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7E6468" w14:textId="77777777" w:rsidR="006B5582" w:rsidRDefault="00F03CFA">
            <w:pPr>
              <w:spacing w:after="0" w:line="240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Honoraires locataire T.T.C* </w:t>
            </w:r>
          </w:p>
        </w:tc>
      </w:tr>
      <w:tr w:rsidR="006B5582" w14:paraId="51E0823D" w14:textId="77777777">
        <w:trPr>
          <w:trHeight w:val="1784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F1A5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Organisation de visite, constitution du dossier, rédaction du bail : </w:t>
            </w:r>
          </w:p>
          <w:p w14:paraId="77E72666" w14:textId="77777777" w:rsidR="006B5582" w:rsidRDefault="00F03CFA">
            <w:pPr>
              <w:numPr>
                <w:ilvl w:val="0"/>
                <w:numId w:val="1"/>
              </w:numPr>
              <w:spacing w:after="9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Zone très tendue : 12 € / m² de surface habitable </w:t>
            </w:r>
          </w:p>
          <w:p w14:paraId="79B900A0" w14:textId="77777777" w:rsidR="006B5582" w:rsidRDefault="00F03CFA">
            <w:pPr>
              <w:numPr>
                <w:ilvl w:val="0"/>
                <w:numId w:val="1"/>
              </w:numPr>
              <w:spacing w:after="8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Zone tendue : 10 € / m² de surface habitable </w:t>
            </w:r>
          </w:p>
          <w:p w14:paraId="4959F7C8" w14:textId="77777777" w:rsidR="006B5582" w:rsidRDefault="00F03CFA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Zone non tendue : 8 € / m² de surface habitable </w:t>
            </w:r>
          </w:p>
          <w:p w14:paraId="1B837EA9" w14:textId="77777777" w:rsidR="006B5582" w:rsidRDefault="00F03CFA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9EEC6B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Etablissement de l’état des lieux à la charge du locataire : 3 € / m² de surface habitable quel que soit la zone géographique. </w:t>
            </w:r>
          </w:p>
        </w:tc>
      </w:tr>
    </w:tbl>
    <w:p w14:paraId="2CF12EEF" w14:textId="77777777" w:rsidR="006B5582" w:rsidRDefault="00F03CFA">
      <w:pPr>
        <w:spacing w:after="0"/>
      </w:pPr>
      <w:r>
        <w:t xml:space="preserve"> </w:t>
      </w:r>
    </w:p>
    <w:tbl>
      <w:tblPr>
        <w:tblStyle w:val="TableGrid"/>
        <w:tblW w:w="8350" w:type="dxa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8350"/>
      </w:tblGrid>
      <w:tr w:rsidR="006B5582" w14:paraId="5E49781A" w14:textId="77777777">
        <w:trPr>
          <w:trHeight w:val="260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25952" w14:textId="77777777" w:rsidR="006B5582" w:rsidRDefault="00F03CFA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Honoraires bailleur </w:t>
            </w:r>
          </w:p>
        </w:tc>
      </w:tr>
      <w:tr w:rsidR="006B5582" w14:paraId="3CC53B0D" w14:textId="77777777">
        <w:trPr>
          <w:trHeight w:val="772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6B11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Obligation de mettre à la charge du bailleur pour les quatre prestations (organisation de visite, constitution du dossier, rédaction du bail, établissement de l’état des lieux), un montant égal à celui facturé au locataire. </w:t>
            </w:r>
          </w:p>
        </w:tc>
      </w:tr>
    </w:tbl>
    <w:p w14:paraId="75772D53" w14:textId="77777777" w:rsidR="006B5582" w:rsidRDefault="00F03CFA">
      <w:pPr>
        <w:spacing w:after="3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812AD8E" w14:textId="77777777" w:rsidR="006B5582" w:rsidRDefault="00F03CFA">
      <w:pPr>
        <w:pStyle w:val="Titre2"/>
        <w:shd w:val="clear" w:color="auto" w:fill="D9D9D9"/>
        <w:ind w:left="85" w:right="1"/>
      </w:pPr>
      <w:r>
        <w:rPr>
          <w:sz w:val="22"/>
          <w:u w:val="none"/>
        </w:rPr>
        <w:t xml:space="preserve">LOCATION local professionnel ou commercial </w:t>
      </w:r>
    </w:p>
    <w:p w14:paraId="7F9909B5" w14:textId="77777777" w:rsidR="006B5582" w:rsidRDefault="00F03CFA">
      <w:pPr>
        <w:spacing w:after="178"/>
        <w:ind w:left="84"/>
        <w:jc w:val="center"/>
      </w:pPr>
      <w:r>
        <w:rPr>
          <w:rFonts w:ascii="Times New Roman" w:eastAsia="Times New Roman" w:hAnsi="Times New Roman" w:cs="Times New Roman"/>
          <w:b/>
          <w:sz w:val="4"/>
        </w:rPr>
        <w:t xml:space="preserve"> </w:t>
      </w:r>
    </w:p>
    <w:p w14:paraId="2D165EF7" w14:textId="77777777" w:rsidR="006B5582" w:rsidRDefault="00F03CFA">
      <w:pPr>
        <w:spacing w:after="0"/>
        <w:ind w:left="87" w:right="2" w:hanging="10"/>
        <w:jc w:val="center"/>
      </w:pPr>
      <w:r>
        <w:rPr>
          <w:rFonts w:ascii="Times New Roman" w:eastAsia="Times New Roman" w:hAnsi="Times New Roman" w:cs="Times New Roman"/>
        </w:rPr>
        <w:t>Honoraires calculés sur la base du loyer annuel</w:t>
      </w:r>
      <w:r>
        <w:rPr>
          <w:rFonts w:ascii="Times New Roman" w:eastAsia="Times New Roman" w:hAnsi="Times New Roman" w:cs="Times New Roman"/>
          <w:b/>
        </w:rPr>
        <w:t xml:space="preserve"> ► 15 % TTC </w:t>
      </w:r>
    </w:p>
    <w:p w14:paraId="4E45E719" w14:textId="77777777" w:rsidR="006B5582" w:rsidRDefault="00F03CFA">
      <w:pPr>
        <w:spacing w:after="109"/>
        <w:ind w:left="99"/>
        <w:jc w:val="center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p w14:paraId="6ABF7ADA" w14:textId="77777777" w:rsidR="006B5582" w:rsidRDefault="00F03CFA">
      <w:pPr>
        <w:pStyle w:val="Titre2"/>
        <w:shd w:val="clear" w:color="auto" w:fill="D9D9D9"/>
        <w:ind w:left="85"/>
      </w:pPr>
      <w:r>
        <w:rPr>
          <w:sz w:val="22"/>
          <w:u w:val="none"/>
        </w:rPr>
        <w:t xml:space="preserve">LOCATION parking ou garage </w:t>
      </w:r>
    </w:p>
    <w:p w14:paraId="4ED8F60E" w14:textId="77777777" w:rsidR="006B5582" w:rsidRDefault="00F03CFA">
      <w:pPr>
        <w:spacing w:after="87"/>
        <w:ind w:left="8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► </w:t>
      </w:r>
      <w:r>
        <w:rPr>
          <w:rFonts w:ascii="Times New Roman" w:eastAsia="Times New Roman" w:hAnsi="Times New Roman" w:cs="Times New Roman"/>
        </w:rPr>
        <w:t>1 MOIS DE LOYER HC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4645066" w14:textId="77777777" w:rsidR="006B5582" w:rsidRDefault="00F03CFA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76D46AD" w14:textId="77777777" w:rsidR="006B5582" w:rsidRDefault="00F03CFA">
      <w:pPr>
        <w:spacing w:after="308"/>
      </w:pPr>
      <w:r>
        <w:rPr>
          <w:rFonts w:ascii="Times New Roman" w:eastAsia="Times New Roman" w:hAnsi="Times New Roman" w:cs="Times New Roman"/>
        </w:rPr>
        <w:t xml:space="preserve"> </w:t>
      </w:r>
    </w:p>
    <w:p w14:paraId="463D2ACC" w14:textId="77777777" w:rsidR="006B5582" w:rsidRDefault="00F03CFA">
      <w:pPr>
        <w:pStyle w:val="Titre2"/>
        <w:ind w:right="2"/>
      </w:pPr>
      <w:r>
        <w:t>BAREME D’HONORAIRES : GESTION</w:t>
      </w:r>
      <w:r>
        <w:rPr>
          <w:sz w:val="52"/>
          <w:u w:val="none"/>
        </w:rPr>
        <w:t xml:space="preserve"> </w:t>
      </w:r>
    </w:p>
    <w:p w14:paraId="339FA6AE" w14:textId="77777777" w:rsidR="006B5582" w:rsidRDefault="00F03CFA">
      <w:pPr>
        <w:spacing w:after="0"/>
        <w:ind w:left="87" w:hanging="10"/>
        <w:jc w:val="center"/>
      </w:pPr>
      <w:r>
        <w:rPr>
          <w:rFonts w:ascii="Times New Roman" w:eastAsia="Times New Roman" w:hAnsi="Times New Roman" w:cs="Times New Roman"/>
        </w:rPr>
        <w:t xml:space="preserve">Applicable à compter du 01/01/2020 </w:t>
      </w:r>
    </w:p>
    <w:p w14:paraId="0ECA417F" w14:textId="77777777" w:rsidR="006B5582" w:rsidRDefault="00F03CFA">
      <w:pPr>
        <w:spacing w:after="3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03F6847" w14:textId="77777777" w:rsidR="006B5582" w:rsidRDefault="00F03CFA">
      <w:pPr>
        <w:spacing w:after="0"/>
        <w:ind w:left="87" w:right="1" w:hanging="10"/>
        <w:jc w:val="center"/>
      </w:pPr>
      <w:r>
        <w:rPr>
          <w:rFonts w:ascii="Times New Roman" w:eastAsia="Times New Roman" w:hAnsi="Times New Roman" w:cs="Times New Roman"/>
        </w:rPr>
        <w:t xml:space="preserve">Honoraires de gestion courant calculés sur les encaissements : </w:t>
      </w:r>
      <w:r>
        <w:rPr>
          <w:rFonts w:ascii="Times New Roman" w:eastAsia="Times New Roman" w:hAnsi="Times New Roman" w:cs="Times New Roman"/>
          <w:color w:val="FF0000"/>
        </w:rPr>
        <w:t xml:space="preserve">6 % H.T. </w:t>
      </w:r>
    </w:p>
    <w:p w14:paraId="1B9015AE" w14:textId="77777777" w:rsidR="006B5582" w:rsidRDefault="00F03CFA">
      <w:pPr>
        <w:spacing w:after="0"/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019C7C4C" w14:textId="77777777" w:rsidR="006B5582" w:rsidRDefault="00F03CFA">
      <w:pPr>
        <w:pStyle w:val="Titre3"/>
        <w:ind w:left="87" w:right="0"/>
      </w:pPr>
      <w:r>
        <w:t xml:space="preserve">GLI – Loyers impayés (calculée sur les quittancements) : </w:t>
      </w:r>
      <w:r>
        <w:rPr>
          <w:color w:val="FF0000"/>
        </w:rPr>
        <w:t xml:space="preserve">2,30 % TTC </w:t>
      </w:r>
    </w:p>
    <w:p w14:paraId="6B59276E" w14:textId="77777777" w:rsidR="006B5582" w:rsidRDefault="00F03CFA">
      <w:pPr>
        <w:spacing w:after="0"/>
        <w:ind w:left="129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64A8D2A" w14:textId="77777777" w:rsidR="006B5582" w:rsidRDefault="00F03CFA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</w:rPr>
        <w:t xml:space="preserve">Prestations complémentaires : </w:t>
      </w:r>
    </w:p>
    <w:p w14:paraId="05166059" w14:textId="77777777" w:rsidR="006B5582" w:rsidRDefault="00F03CFA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7845" w:type="dxa"/>
        <w:tblInd w:w="1462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360"/>
        <w:gridCol w:w="5301"/>
        <w:gridCol w:w="357"/>
        <w:gridCol w:w="1827"/>
      </w:tblGrid>
      <w:tr w:rsidR="006B5582" w14:paraId="4A2B0515" w14:textId="77777777">
        <w:trPr>
          <w:trHeight w:val="251"/>
        </w:trPr>
        <w:tc>
          <w:tcPr>
            <w:tcW w:w="360" w:type="dxa"/>
            <w:shd w:val="clear" w:color="auto" w:fill="auto"/>
          </w:tcPr>
          <w:p w14:paraId="467AF2E0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00" w:type="dxa"/>
            <w:shd w:val="clear" w:color="auto" w:fill="auto"/>
          </w:tcPr>
          <w:p w14:paraId="75C44C38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Renouvellement de bail (Propriétaire + Locataire) </w:t>
            </w:r>
          </w:p>
        </w:tc>
        <w:tc>
          <w:tcPr>
            <w:tcW w:w="357" w:type="dxa"/>
            <w:shd w:val="clear" w:color="auto" w:fill="auto"/>
          </w:tcPr>
          <w:p w14:paraId="06AD002D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1827" w:type="dxa"/>
            <w:shd w:val="clear" w:color="auto" w:fill="auto"/>
          </w:tcPr>
          <w:p w14:paraId="35EC6D54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120 euros TTC </w:t>
            </w:r>
          </w:p>
        </w:tc>
      </w:tr>
      <w:tr w:rsidR="006B5582" w14:paraId="7A278C95" w14:textId="77777777">
        <w:trPr>
          <w:trHeight w:val="253"/>
        </w:trPr>
        <w:tc>
          <w:tcPr>
            <w:tcW w:w="360" w:type="dxa"/>
            <w:shd w:val="clear" w:color="auto" w:fill="auto"/>
          </w:tcPr>
          <w:p w14:paraId="6F6EE119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00" w:type="dxa"/>
            <w:shd w:val="clear" w:color="auto" w:fill="auto"/>
          </w:tcPr>
          <w:p w14:paraId="0BBE808F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Représentation aux assemblées Générales (Propriétaire) </w:t>
            </w:r>
          </w:p>
        </w:tc>
        <w:tc>
          <w:tcPr>
            <w:tcW w:w="357" w:type="dxa"/>
            <w:shd w:val="clear" w:color="auto" w:fill="auto"/>
          </w:tcPr>
          <w:p w14:paraId="2656A6D2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1827" w:type="dxa"/>
            <w:shd w:val="clear" w:color="auto" w:fill="auto"/>
          </w:tcPr>
          <w:p w14:paraId="654A9AF5" w14:textId="77777777" w:rsidR="006B5582" w:rsidRDefault="00F03CF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80 euros TTC/heure </w:t>
            </w:r>
          </w:p>
        </w:tc>
      </w:tr>
      <w:tr w:rsidR="006B5582" w14:paraId="02C4B0D1" w14:textId="77777777">
        <w:trPr>
          <w:trHeight w:val="507"/>
        </w:trPr>
        <w:tc>
          <w:tcPr>
            <w:tcW w:w="360" w:type="dxa"/>
            <w:shd w:val="clear" w:color="auto" w:fill="auto"/>
          </w:tcPr>
          <w:p w14:paraId="5A491954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00" w:type="dxa"/>
            <w:shd w:val="clear" w:color="auto" w:fill="auto"/>
          </w:tcPr>
          <w:p w14:paraId="415D8641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Etablissement de l’aide à la déclaration des revenus fonciers par lot </w:t>
            </w:r>
          </w:p>
        </w:tc>
        <w:tc>
          <w:tcPr>
            <w:tcW w:w="357" w:type="dxa"/>
            <w:shd w:val="clear" w:color="auto" w:fill="auto"/>
          </w:tcPr>
          <w:p w14:paraId="3BF4442E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1827" w:type="dxa"/>
            <w:shd w:val="clear" w:color="auto" w:fill="auto"/>
          </w:tcPr>
          <w:p w14:paraId="24E86703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50 euros TTC </w:t>
            </w:r>
          </w:p>
        </w:tc>
      </w:tr>
      <w:tr w:rsidR="006B5582" w14:paraId="36CF2CAA" w14:textId="77777777">
        <w:trPr>
          <w:trHeight w:val="252"/>
        </w:trPr>
        <w:tc>
          <w:tcPr>
            <w:tcW w:w="360" w:type="dxa"/>
            <w:shd w:val="clear" w:color="auto" w:fill="auto"/>
          </w:tcPr>
          <w:p w14:paraId="4EBFE36B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00" w:type="dxa"/>
            <w:shd w:val="clear" w:color="auto" w:fill="auto"/>
          </w:tcPr>
          <w:p w14:paraId="32846122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Déclaration de TVA (Propriétaire) </w:t>
            </w:r>
          </w:p>
        </w:tc>
        <w:tc>
          <w:tcPr>
            <w:tcW w:w="357" w:type="dxa"/>
            <w:shd w:val="clear" w:color="auto" w:fill="auto"/>
          </w:tcPr>
          <w:p w14:paraId="1B8F16FE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1827" w:type="dxa"/>
            <w:shd w:val="clear" w:color="auto" w:fill="auto"/>
          </w:tcPr>
          <w:p w14:paraId="5B71C63E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65 euros TTC </w:t>
            </w:r>
          </w:p>
        </w:tc>
      </w:tr>
      <w:tr w:rsidR="006B5582" w14:paraId="08FADD23" w14:textId="77777777">
        <w:trPr>
          <w:trHeight w:val="253"/>
        </w:trPr>
        <w:tc>
          <w:tcPr>
            <w:tcW w:w="360" w:type="dxa"/>
            <w:shd w:val="clear" w:color="auto" w:fill="auto"/>
          </w:tcPr>
          <w:p w14:paraId="44F13E10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00" w:type="dxa"/>
            <w:shd w:val="clear" w:color="auto" w:fill="auto"/>
          </w:tcPr>
          <w:p w14:paraId="75E6D083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Gestion d’un dossier contentieux (Propriétaire) </w:t>
            </w:r>
          </w:p>
        </w:tc>
        <w:tc>
          <w:tcPr>
            <w:tcW w:w="357" w:type="dxa"/>
            <w:shd w:val="clear" w:color="auto" w:fill="auto"/>
          </w:tcPr>
          <w:p w14:paraId="32DA3697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1827" w:type="dxa"/>
            <w:shd w:val="clear" w:color="auto" w:fill="auto"/>
          </w:tcPr>
          <w:p w14:paraId="786D0236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80 euros TTC </w:t>
            </w:r>
          </w:p>
        </w:tc>
      </w:tr>
      <w:tr w:rsidR="006B5582" w14:paraId="0FF59208" w14:textId="77777777">
        <w:trPr>
          <w:trHeight w:val="251"/>
        </w:trPr>
        <w:tc>
          <w:tcPr>
            <w:tcW w:w="360" w:type="dxa"/>
            <w:shd w:val="clear" w:color="auto" w:fill="auto"/>
          </w:tcPr>
          <w:p w14:paraId="1B024396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00" w:type="dxa"/>
            <w:shd w:val="clear" w:color="auto" w:fill="auto"/>
          </w:tcPr>
          <w:p w14:paraId="40E789FD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Ouverture d’un dossier sinistre (Propriétaire) </w:t>
            </w:r>
          </w:p>
        </w:tc>
        <w:tc>
          <w:tcPr>
            <w:tcW w:w="357" w:type="dxa"/>
            <w:shd w:val="clear" w:color="auto" w:fill="auto"/>
          </w:tcPr>
          <w:p w14:paraId="0DA5871B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1827" w:type="dxa"/>
            <w:shd w:val="clear" w:color="auto" w:fill="auto"/>
          </w:tcPr>
          <w:p w14:paraId="223CC245" w14:textId="77777777" w:rsidR="006B5582" w:rsidRDefault="00F0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30 euros TTC </w:t>
            </w:r>
          </w:p>
        </w:tc>
      </w:tr>
    </w:tbl>
    <w:p w14:paraId="5AF002E3" w14:textId="77777777" w:rsidR="006B5582" w:rsidRDefault="00F03CF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4ABB154" w14:textId="77777777" w:rsidR="006B5582" w:rsidRDefault="00F03CFA">
      <w:pPr>
        <w:spacing w:after="0"/>
      </w:pPr>
      <w: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14"/>
        </w:rPr>
        <w:t xml:space="preserve">SARL AVENIR Immobilier / OPEN IMMOBILIER – 113 rue Alphée </w:t>
      </w:r>
      <w:proofErr w:type="spellStart"/>
      <w:r>
        <w:rPr>
          <w:rFonts w:ascii="Times New Roman" w:eastAsia="Times New Roman" w:hAnsi="Times New Roman" w:cs="Times New Roman"/>
          <w:b/>
          <w:sz w:val="14"/>
        </w:rPr>
        <w:t>Mazièras</w:t>
      </w:r>
      <w:proofErr w:type="spellEnd"/>
      <w:r>
        <w:rPr>
          <w:rFonts w:ascii="Times New Roman" w:eastAsia="Times New Roman" w:hAnsi="Times New Roman" w:cs="Times New Roman"/>
          <w:b/>
          <w:sz w:val="14"/>
        </w:rPr>
        <w:t xml:space="preserve"> – 24000 PERIGUEUX </w:t>
      </w:r>
    </w:p>
    <w:p w14:paraId="09BECED1" w14:textId="77777777" w:rsidR="006B5582" w:rsidRDefault="00F03CFA">
      <w:pPr>
        <w:spacing w:after="3"/>
        <w:ind w:left="84" w:hanging="1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Titulaire de la carte professionnelle n° CPI 2401 2017 000 017 451 </w:t>
      </w:r>
    </w:p>
    <w:p w14:paraId="7810DF98" w14:textId="77777777" w:rsidR="006B5582" w:rsidRDefault="00F03CFA">
      <w:pPr>
        <w:spacing w:after="3"/>
        <w:ind w:left="84" w:right="3" w:hanging="10"/>
        <w:jc w:val="center"/>
      </w:pPr>
      <w:r>
        <w:rPr>
          <w:rFonts w:ascii="Times New Roman" w:eastAsia="Times New Roman" w:hAnsi="Times New Roman" w:cs="Times New Roman"/>
          <w:sz w:val="14"/>
        </w:rPr>
        <w:t>Délivrée par la CCI de la Dordogne – garanti(e) par GROUPAMA – VERSPIEREN – 8 avenue du stade de Franc</w:t>
      </w:r>
      <w:r>
        <w:rPr>
          <w:rFonts w:ascii="Times New Roman" w:eastAsia="Times New Roman" w:hAnsi="Times New Roman" w:cs="Times New Roman"/>
          <w:sz w:val="14"/>
        </w:rPr>
        <w:t xml:space="preserve">e – 93210 SAINT DENIS N°4000711288 </w:t>
      </w:r>
    </w:p>
    <w:p w14:paraId="3A5EC8D9" w14:textId="77777777" w:rsidR="006B5582" w:rsidRDefault="00F03CFA">
      <w:pPr>
        <w:spacing w:after="3"/>
        <w:ind w:left="84" w:hanging="1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RCS 539 104 299 </w:t>
      </w:r>
    </w:p>
    <w:sectPr w:rsidR="006B5582">
      <w:pgSz w:w="11906" w:h="16838"/>
      <w:pgMar w:top="799" w:right="794" w:bottom="707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01B"/>
    <w:multiLevelType w:val="multilevel"/>
    <w:tmpl w:val="57362418"/>
    <w:lvl w:ilvl="0">
      <w:start w:val="1"/>
      <w:numFmt w:val="bullet"/>
      <w:lvlText w:val="➢"/>
      <w:lvlJc w:val="left"/>
      <w:pPr>
        <w:ind w:left="7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4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6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8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0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42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14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6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8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0EF629FE"/>
    <w:multiLevelType w:val="multilevel"/>
    <w:tmpl w:val="614AD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82"/>
    <w:rsid w:val="000343B6"/>
    <w:rsid w:val="000A24E6"/>
    <w:rsid w:val="00526CAB"/>
    <w:rsid w:val="006B5582"/>
    <w:rsid w:val="008F01C6"/>
    <w:rsid w:val="00A71F3F"/>
    <w:rsid w:val="00B13D01"/>
    <w:rsid w:val="00B96FC5"/>
    <w:rsid w:val="00CA71B7"/>
    <w:rsid w:val="00E0052E"/>
    <w:rsid w:val="00E240AA"/>
    <w:rsid w:val="00F0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4F5D"/>
  <w15:docId w15:val="{8D47437D-15BE-432F-A67C-EA6BD540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8"/>
      <w:ind w:left="10" w:hanging="10"/>
      <w:outlineLvl w:val="0"/>
    </w:pPr>
    <w:rPr>
      <w:rFonts w:ascii="Times New Roman" w:eastAsia="Times New Roman" w:hAnsi="Times New Roman" w:cs="Times New Roman"/>
      <w:i/>
      <w:color w:val="FF6600"/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after="0"/>
      <w:ind w:left="83" w:hanging="10"/>
      <w:jc w:val="center"/>
      <w:outlineLvl w:val="1"/>
    </w:pPr>
    <w:rPr>
      <w:rFonts w:ascii="Times New Roman" w:eastAsia="Times New Roman" w:hAnsi="Times New Roman" w:cs="Times New Roman"/>
      <w:b/>
      <w:sz w:val="32"/>
      <w:u w:val="single" w:color="00000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after="0"/>
      <w:ind w:left="10" w:right="3491" w:hanging="10"/>
      <w:jc w:val="center"/>
      <w:outlineLvl w:val="2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qFormat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re2Car">
    <w:name w:val="Titre 2 Car"/>
    <w:link w:val="Titre2"/>
    <w:qFormat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Titre1Car">
    <w:name w:val="Titre 1 Car"/>
    <w:link w:val="Titre1"/>
    <w:qFormat/>
    <w:rPr>
      <w:rFonts w:ascii="Times New Roman" w:eastAsia="Times New Roman" w:hAnsi="Times New Roman" w:cs="Times New Roman"/>
      <w:i/>
      <w:color w:val="FF6600"/>
      <w:sz w:val="36"/>
    </w:rPr>
  </w:style>
  <w:style w:type="character" w:customStyle="1" w:styleId="ListLabel1">
    <w:name w:val="ListLabel 1"/>
    <w:qFormat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">
    <w:name w:val="ListLabel 2"/>
    <w:qFormat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sz w:val="20"/>
    </w:rPr>
  </w:style>
  <w:style w:type="character" w:customStyle="1" w:styleId="LienInternet">
    <w:name w:val="Lien Internet"/>
    <w:rPr>
      <w:color w:val="000080"/>
      <w:u w:val="single"/>
      <w:lang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color w:val="0563C1"/>
      <w:sz w:val="20"/>
      <w:u w:val="single" w:color="0563C1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F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immobilier.imm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immobilier.im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enimmobilier.immo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Mathieu rabiller</cp:lastModifiedBy>
  <cp:revision>2</cp:revision>
  <cp:lastPrinted>2020-12-04T15:30:00Z</cp:lastPrinted>
  <dcterms:created xsi:type="dcterms:W3CDTF">2021-01-25T17:43:00Z</dcterms:created>
  <dcterms:modified xsi:type="dcterms:W3CDTF">2021-01-25T17:43:00Z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