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6B" w:rsidRPr="0024536B" w:rsidRDefault="0024536B" w:rsidP="0024536B">
      <w:pPr>
        <w:tabs>
          <w:tab w:val="left" w:pos="2324"/>
        </w:tabs>
        <w:jc w:val="center"/>
        <w:rPr>
          <w:rFonts w:ascii="Gabriola" w:hAnsi="Gabriola" w:cs="Andalus"/>
          <w:b/>
          <w:color w:val="C45911" w:themeColor="accent2" w:themeShade="BF"/>
          <w:sz w:val="32"/>
          <w:szCs w:val="32"/>
        </w:rPr>
      </w:pPr>
      <w:r w:rsidRPr="0024536B">
        <w:rPr>
          <w:rFonts w:ascii="Gabriola" w:hAnsi="Gabriola" w:cs="Andalus"/>
          <w:b/>
          <w:color w:val="C45911" w:themeColor="accent2" w:themeShade="BF"/>
          <w:sz w:val="32"/>
          <w:szCs w:val="32"/>
        </w:rPr>
        <w:t>LIQUIDATION DES INDEMNITES JOURNALIERES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Elles sont dues à partir du premier jour qui suit l’arrêt de travail consécutif à l’accident soit jusqu’à la guérison complète, soit jusqu’au décès, ainsi que le cas de rechute ou d’aggravation.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L’indemnité journalière est calculée en fonction du salaire journalier de la victime et du nombre de jour d’incapacité temporaire. Elle est payée mensuellement.</w:t>
      </w:r>
    </w:p>
    <w:p w:rsidR="0024536B" w:rsidRPr="0024536B" w:rsidRDefault="0024536B" w:rsidP="0024536B">
      <w:pPr>
        <w:tabs>
          <w:tab w:val="left" w:pos="2324"/>
        </w:tabs>
        <w:jc w:val="both"/>
        <w:rPr>
          <w:rFonts w:ascii="Gabriola" w:hAnsi="Gabriola" w:cs="Andalus"/>
          <w:b/>
          <w:color w:val="2F5496" w:themeColor="accent5" w:themeShade="BF"/>
          <w:sz w:val="30"/>
          <w:szCs w:val="30"/>
        </w:rPr>
      </w:pPr>
      <w:r w:rsidRPr="0024536B">
        <w:rPr>
          <w:rFonts w:ascii="Gabriola" w:hAnsi="Gabriola" w:cs="Andalus"/>
          <w:b/>
          <w:color w:val="2F5496" w:themeColor="accent5" w:themeShade="BF"/>
          <w:sz w:val="30"/>
          <w:szCs w:val="30"/>
        </w:rPr>
        <w:t>LA RENTE DE LA VICTIME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La rente est déterminée à partir d’un taux d’incapacité et d’un salaire de référence.</w:t>
      </w:r>
      <w:r>
        <w:rPr>
          <w:rFonts w:ascii="Gabriola" w:hAnsi="Gabriola" w:cs="Andalus"/>
          <w:sz w:val="30"/>
          <w:szCs w:val="30"/>
        </w:rPr>
        <w:t xml:space="preserve"> </w:t>
      </w:r>
      <w:r w:rsidRPr="00270D9C">
        <w:rPr>
          <w:rFonts w:ascii="Gabriola" w:hAnsi="Gabriola" w:cs="Andalus"/>
          <w:sz w:val="30"/>
          <w:szCs w:val="30"/>
        </w:rPr>
        <w:t>Elle est payée par mois, par trimestre pou par an</w:t>
      </w:r>
      <w:r>
        <w:rPr>
          <w:rFonts w:ascii="Gabriola" w:hAnsi="Gabriola" w:cs="Andalus"/>
          <w:sz w:val="30"/>
          <w:szCs w:val="30"/>
        </w:rPr>
        <w:t xml:space="preserve">. </w:t>
      </w:r>
      <w:r w:rsidRPr="00270D9C">
        <w:rPr>
          <w:rFonts w:ascii="Gabriola" w:hAnsi="Gabriola" w:cs="Andalus"/>
          <w:sz w:val="30"/>
          <w:szCs w:val="30"/>
        </w:rPr>
        <w:t>Elle est viagère et n’est pas réversible.</w:t>
      </w:r>
    </w:p>
    <w:p w:rsidR="0024536B" w:rsidRDefault="0024536B" w:rsidP="0024536B">
      <w:pPr>
        <w:tabs>
          <w:tab w:val="left" w:pos="2324"/>
        </w:tabs>
        <w:jc w:val="both"/>
        <w:rPr>
          <w:rFonts w:ascii="Gabriola" w:hAnsi="Gabriola" w:cs="Andalus"/>
          <w:b/>
          <w:color w:val="2F5496" w:themeColor="accent5" w:themeShade="BF"/>
          <w:sz w:val="30"/>
          <w:szCs w:val="30"/>
        </w:rPr>
      </w:pPr>
      <w:r w:rsidRPr="0024536B">
        <w:rPr>
          <w:rFonts w:ascii="Gabriola" w:hAnsi="Gabriola" w:cs="Andalus"/>
          <w:b/>
          <w:sz w:val="30"/>
          <w:szCs w:val="30"/>
        </w:rPr>
        <w:t>Exemple: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4536B">
        <w:rPr>
          <w:rFonts w:ascii="Gabriola" w:hAnsi="Gabriola" w:cs="Andalus"/>
          <w:b/>
          <w:color w:val="2F5496" w:themeColor="accent5" w:themeShade="BF"/>
          <w:sz w:val="30"/>
          <w:szCs w:val="30"/>
        </w:rPr>
        <w:t>LA RENTE DES AYANTS DROIT 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Les ayants droit sont : la ou les veuves, les orphelins, les ascendants.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Les rentes aux ayants droit sont ainsi réparties :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30% du salaire annuel de la victime pour le conjoint survivant ;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15% du salaire annuel</w:t>
      </w:r>
      <w:r>
        <w:rPr>
          <w:rFonts w:ascii="Gabriola" w:hAnsi="Gabriola" w:cs="Andalus"/>
          <w:sz w:val="30"/>
          <w:szCs w:val="30"/>
        </w:rPr>
        <w:t xml:space="preserve"> de la victime s’il n’y a qu’un</w:t>
      </w:r>
      <w:r w:rsidRPr="00270D9C">
        <w:rPr>
          <w:rFonts w:ascii="Gabriola" w:hAnsi="Gabriola" w:cs="Andalus"/>
          <w:sz w:val="30"/>
          <w:szCs w:val="30"/>
        </w:rPr>
        <w:t xml:space="preserve"> seul enfant ;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30% s’il y</w:t>
      </w:r>
      <w:r>
        <w:rPr>
          <w:rFonts w:ascii="Gabriola" w:hAnsi="Gabriola" w:cs="Andalus"/>
          <w:sz w:val="30"/>
          <w:szCs w:val="30"/>
        </w:rPr>
        <w:t xml:space="preserve"> </w:t>
      </w:r>
      <w:r w:rsidRPr="00270D9C">
        <w:rPr>
          <w:rFonts w:ascii="Gabriola" w:hAnsi="Gabriola" w:cs="Andalus"/>
          <w:sz w:val="30"/>
          <w:szCs w:val="30"/>
        </w:rPr>
        <w:t>a deux enfants ;</w:t>
      </w:r>
    </w:p>
    <w:p w:rsidR="0024536B" w:rsidRPr="00270D9C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40% s’il y</w:t>
      </w:r>
      <w:r>
        <w:rPr>
          <w:rFonts w:ascii="Gabriola" w:hAnsi="Gabriola" w:cs="Andalus"/>
          <w:sz w:val="30"/>
          <w:szCs w:val="30"/>
        </w:rPr>
        <w:t xml:space="preserve"> </w:t>
      </w:r>
      <w:bookmarkStart w:id="0" w:name="_GoBack"/>
      <w:bookmarkEnd w:id="0"/>
      <w:r w:rsidRPr="00270D9C">
        <w:rPr>
          <w:rFonts w:ascii="Gabriola" w:hAnsi="Gabriola" w:cs="Andalus"/>
          <w:sz w:val="30"/>
          <w:szCs w:val="30"/>
        </w:rPr>
        <w:t>a trois enfants.</w:t>
      </w:r>
    </w:p>
    <w:p w:rsidR="0024536B" w:rsidRPr="0024536B" w:rsidRDefault="0024536B" w:rsidP="0024536B">
      <w:pPr>
        <w:tabs>
          <w:tab w:val="left" w:pos="2324"/>
        </w:tabs>
        <w:jc w:val="both"/>
        <w:rPr>
          <w:rFonts w:ascii="Gabriola" w:hAnsi="Gabriola" w:cs="Andalus"/>
          <w:b/>
          <w:sz w:val="30"/>
          <w:szCs w:val="30"/>
        </w:rPr>
      </w:pPr>
      <w:r w:rsidRPr="0024536B">
        <w:rPr>
          <w:rFonts w:ascii="Gabriola" w:hAnsi="Gabriola" w:cs="Andalus"/>
          <w:b/>
          <w:sz w:val="30"/>
          <w:szCs w:val="30"/>
          <w:u w:val="single"/>
        </w:rPr>
        <w:t>Exemple</w:t>
      </w:r>
      <w:r w:rsidRPr="0024536B">
        <w:rPr>
          <w:rFonts w:ascii="Gabriola" w:hAnsi="Gabriola" w:cs="Andalus"/>
          <w:b/>
          <w:sz w:val="30"/>
          <w:szCs w:val="30"/>
        </w:rPr>
        <w:t> </w:t>
      </w:r>
    </w:p>
    <w:p w:rsidR="008D5FFF" w:rsidRPr="0024536B" w:rsidRDefault="0024536B" w:rsidP="0024536B">
      <w:pPr>
        <w:tabs>
          <w:tab w:val="left" w:pos="2324"/>
        </w:tabs>
        <w:jc w:val="both"/>
        <w:rPr>
          <w:rFonts w:ascii="Gabriola" w:hAnsi="Gabriola" w:cs="Andalus"/>
          <w:sz w:val="30"/>
          <w:szCs w:val="30"/>
        </w:rPr>
      </w:pPr>
      <w:r w:rsidRPr="00270D9C">
        <w:rPr>
          <w:rFonts w:ascii="Gabriola" w:hAnsi="Gabriola" w:cs="Andalus"/>
          <w:sz w:val="30"/>
          <w:szCs w:val="30"/>
        </w:rPr>
        <w:t>La rente est majorée de 10% pour chaque enfant à charge.</w:t>
      </w:r>
      <w:r>
        <w:rPr>
          <w:rFonts w:ascii="Gabriola" w:hAnsi="Gabriola" w:cs="Andalus"/>
          <w:sz w:val="30"/>
          <w:szCs w:val="30"/>
        </w:rPr>
        <w:t xml:space="preserve"> </w:t>
      </w:r>
      <w:r w:rsidRPr="00270D9C">
        <w:rPr>
          <w:rFonts w:ascii="Gabriola" w:hAnsi="Gabriola" w:cs="Andalus"/>
          <w:sz w:val="30"/>
          <w:szCs w:val="30"/>
        </w:rPr>
        <w:t xml:space="preserve">Les ascendants (père et mère) ont droit </w:t>
      </w:r>
      <w:r>
        <w:rPr>
          <w:rFonts w:ascii="Gabriola" w:hAnsi="Gabriola" w:cs="Andalus"/>
          <w:sz w:val="30"/>
          <w:szCs w:val="30"/>
        </w:rPr>
        <w:t xml:space="preserve">chacun </w:t>
      </w:r>
      <w:r w:rsidRPr="00270D9C">
        <w:rPr>
          <w:rFonts w:ascii="Gabriola" w:hAnsi="Gabriola" w:cs="Andalus"/>
          <w:sz w:val="30"/>
          <w:szCs w:val="30"/>
        </w:rPr>
        <w:t>à 10% du salaire annuel de la victime.</w:t>
      </w:r>
    </w:p>
    <w:sectPr w:rsidR="008D5FFF" w:rsidRPr="00245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CC" w:rsidRDefault="002B28CC" w:rsidP="0024536B">
      <w:pPr>
        <w:spacing w:after="0" w:line="240" w:lineRule="auto"/>
      </w:pPr>
      <w:r>
        <w:separator/>
      </w:r>
    </w:p>
  </w:endnote>
  <w:endnote w:type="continuationSeparator" w:id="0">
    <w:p w:rsidR="002B28CC" w:rsidRDefault="002B28CC" w:rsidP="002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B" w:rsidRDefault="002453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B" w:rsidRDefault="002453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B" w:rsidRDefault="002453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CC" w:rsidRDefault="002B28CC" w:rsidP="0024536B">
      <w:pPr>
        <w:spacing w:after="0" w:line="240" w:lineRule="auto"/>
      </w:pPr>
      <w:r>
        <w:separator/>
      </w:r>
    </w:p>
  </w:footnote>
  <w:footnote w:type="continuationSeparator" w:id="0">
    <w:p w:rsidR="002B28CC" w:rsidRDefault="002B28CC" w:rsidP="002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B" w:rsidRDefault="002453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16876" o:spid="_x0000_s2050" type="#_x0000_t75" style="position:absolute;margin-left:0;margin-top:0;width:453.4pt;height:342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B" w:rsidRDefault="002453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16877" o:spid="_x0000_s2051" type="#_x0000_t75" style="position:absolute;margin-left:0;margin-top:0;width:453.4pt;height:342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6B" w:rsidRDefault="002453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16875" o:spid="_x0000_s2049" type="#_x0000_t75" style="position:absolute;margin-left:0;margin-top:0;width:453.4pt;height:342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6B"/>
    <w:rsid w:val="0024536B"/>
    <w:rsid w:val="002B28CC"/>
    <w:rsid w:val="008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7E047CA-8D82-4C3C-BD3F-133C930A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5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36B"/>
  </w:style>
  <w:style w:type="paragraph" w:styleId="Pieddepage">
    <w:name w:val="footer"/>
    <w:basedOn w:val="Normal"/>
    <w:link w:val="PieddepageCar"/>
    <w:uiPriority w:val="99"/>
    <w:unhideWhenUsed/>
    <w:rsid w:val="00245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INPS-SRP</dc:creator>
  <cp:keywords/>
  <dc:description/>
  <cp:lastModifiedBy>INPS-SRP</cp:lastModifiedBy>
  <cp:revision>1</cp:revision>
  <dcterms:created xsi:type="dcterms:W3CDTF">2021-02-24T12:10:00Z</dcterms:created>
  <dcterms:modified xsi:type="dcterms:W3CDTF">2021-02-24T12:20:00Z</dcterms:modified>
</cp:coreProperties>
</file>