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Le nom</w:t>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spacing w:line="360" w:lineRule="auto"/>
        <w:ind w:firstLine="708"/>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vertAlign w:val="baseline"/>
          <w:rtl w:val="0"/>
        </w:rPr>
        <w:t xml:space="preserve">Le nom (appelé aussi </w:t>
      </w:r>
      <w:r w:rsidDel="00000000" w:rsidR="00000000" w:rsidRPr="00000000">
        <w:rPr>
          <w:rFonts w:ascii="Times New Roman" w:cs="Times New Roman" w:eastAsia="Times New Roman" w:hAnsi="Times New Roman"/>
          <w:b w:val="1"/>
          <w:sz w:val="24"/>
          <w:szCs w:val="24"/>
          <w:vertAlign w:val="baseline"/>
          <w:rtl w:val="0"/>
        </w:rPr>
        <w:t xml:space="preserve">substantif</w:t>
      </w:r>
      <w:r w:rsidDel="00000000" w:rsidR="00000000" w:rsidRPr="00000000">
        <w:rPr>
          <w:rFonts w:ascii="Times New Roman" w:cs="Times New Roman" w:eastAsia="Times New Roman" w:hAnsi="Times New Roman"/>
          <w:sz w:val="24"/>
          <w:szCs w:val="24"/>
          <w:vertAlign w:val="baseline"/>
          <w:rtl w:val="0"/>
        </w:rPr>
        <w:t xml:space="preserve">) est l’une des principales parties du discours. Il constitue l’élément central du groupe nominal. Variable en nombre, il peut également, dans certains cas, varier en genre (masculin ou féminin). Il est employé pour désigner les êtres, les choses, les propriétés </w:t>
      </w:r>
      <w:r w:rsidDel="00000000" w:rsidR="00000000" w:rsidRPr="00000000">
        <w:rPr>
          <w:rFonts w:ascii="Times New Roman" w:cs="Times New Roman" w:eastAsia="Times New Roman" w:hAnsi="Times New Roman"/>
          <w:sz w:val="24"/>
          <w:szCs w:val="24"/>
          <w:highlight w:val="white"/>
          <w:vertAlign w:val="baseline"/>
          <w:rtl w:val="0"/>
        </w:rPr>
        <w:t xml:space="preserve">(bonté, méchanceté, lenteur, rapidité, etc.), les sentiments et émotions (amour, confiance, haine, peur, colère, etc.), les procès (ou actions), les relations (antériorité, postériorité, voisinage, proximité, éloignement, cause, opposition, conflit, etc.) et les quantités (tas, amas, multitude, etc.)</w:t>
      </w:r>
      <w:r w:rsidDel="00000000" w:rsidR="00000000" w:rsidRPr="00000000">
        <w:rPr>
          <w:rFonts w:ascii="Times New Roman" w:cs="Times New Roman" w:eastAsia="Times New Roman" w:hAnsi="Times New Roman"/>
          <w:sz w:val="24"/>
          <w:szCs w:val="24"/>
          <w:highlight w:val="white"/>
          <w:vertAlign w:val="superscript"/>
        </w:rPr>
        <w:footnoteReference w:customMarkFollows="0" w:id="0"/>
      </w:r>
      <w:r w:rsidDel="00000000" w:rsidR="00000000" w:rsidRPr="00000000">
        <w:rPr>
          <w:rFonts w:ascii="Times New Roman" w:cs="Times New Roman" w:eastAsia="Times New Roman" w:hAnsi="Times New Roman"/>
          <w:sz w:val="24"/>
          <w:szCs w:val="24"/>
          <w:highlight w:val="white"/>
          <w:vertAlign w:val="baseline"/>
          <w:rtl w:val="0"/>
        </w:rPr>
        <w:t xml:space="preserve">.</w:t>
      </w:r>
    </w:p>
    <w:p w:rsidR="00000000" w:rsidDel="00000000" w:rsidP="00000000" w:rsidRDefault="00000000" w:rsidRPr="00000000" w14:paraId="00000004">
      <w:pPr>
        <w:spacing w:line="360" w:lineRule="auto"/>
        <w:ind w:firstLine="708"/>
        <w:jc w:val="both"/>
        <w:rPr>
          <w:rFonts w:ascii="Times New Roman" w:cs="Times New Roman" w:eastAsia="Times New Roman" w:hAnsi="Times New Roman"/>
          <w:sz w:val="24"/>
          <w:szCs w:val="24"/>
          <w:highlight w:val="white"/>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1428" w:right="0" w:hanging="720"/>
        <w:jc w:val="both"/>
        <w:rPr>
          <w:rFonts w:ascii="Times New Roman" w:cs="Times New Roman" w:eastAsia="Times New Roman" w:hAnsi="Times New Roman"/>
          <w:b w:val="0"/>
          <w:i w:val="0"/>
          <w:smallCaps w:val="0"/>
          <w:strike w:val="0"/>
          <w:color w:val="000000"/>
          <w:sz w:val="28"/>
          <w:szCs w:val="28"/>
          <w:highlight w:val="white"/>
          <w:u w:val="no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Distribution</w:t>
      </w:r>
      <w:r w:rsidDel="00000000" w:rsidR="00000000" w:rsidRPr="00000000">
        <w:rPr>
          <w:rtl w:val="0"/>
        </w:rPr>
      </w:r>
    </w:p>
    <w:p w:rsidR="00000000" w:rsidDel="00000000" w:rsidP="00000000" w:rsidRDefault="00000000" w:rsidRPr="00000000" w14:paraId="00000006">
      <w:pPr>
        <w:spacing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 nom est généralement précédé d’un déterminant (simple ou composé). Dans sa forme minimale, le groupe nominal est constitué d’un déterminant et d’un nom (D+N), comme il peut être réduit au seul nom, surtout lorsqu’il s’agit d’un nom propre (Pierre, Marseille, etc.), même s’il y a des noms propres précédés d’un déterminant (noms de continents, d’océans, de pays, de villes, de fleuves, etc. (L’Afrique, l’Atlantique, Le Mexique, Le Nil, La Seine, etc.).  Il occupe des </w:t>
      </w:r>
      <w:hyperlink r:id="rId7">
        <w:r w:rsidDel="00000000" w:rsidR="00000000" w:rsidRPr="00000000">
          <w:rPr>
            <w:rFonts w:ascii="Times New Roman" w:cs="Times New Roman" w:eastAsia="Times New Roman" w:hAnsi="Times New Roman"/>
            <w:sz w:val="24"/>
            <w:szCs w:val="24"/>
            <w:vertAlign w:val="baseline"/>
            <w:rtl w:val="0"/>
          </w:rPr>
          <w:t xml:space="preserve">fonctions</w:t>
        </w:r>
      </w:hyperlink>
      <w:r w:rsidDel="00000000" w:rsidR="00000000" w:rsidRPr="00000000">
        <w:rPr>
          <w:rFonts w:ascii="Times New Roman" w:cs="Times New Roman" w:eastAsia="Times New Roman" w:hAnsi="Times New Roman"/>
          <w:sz w:val="24"/>
          <w:szCs w:val="24"/>
          <w:vertAlign w:val="baseline"/>
          <w:rtl w:val="0"/>
        </w:rPr>
        <w:t xml:space="preserve"> variées dans la phrase et peut donc faire partie du groupe sujet, ou du groupe verbal, ou encore être un circonstant. </w:t>
      </w:r>
    </w:p>
    <w:p w:rsidR="00000000" w:rsidDel="00000000" w:rsidP="00000000" w:rsidRDefault="00000000" w:rsidRPr="00000000" w14:paraId="00000007">
      <w:pPr>
        <w:spacing w:line="360" w:lineRule="auto"/>
        <w:ind w:firstLine="708"/>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8" w:right="0" w:hanging="72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Fonctions </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Sujet </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Complément de l’objet</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Attribut du sujet ou de l’objet</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Apposé</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Complément circonstanciel</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Complément du nom</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8" w:right="0" w:hanging="72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Distinctions sémantiques </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 animé- nom non animé</w:t>
      </w:r>
      <w:r w:rsidDel="00000000" w:rsidR="00000000" w:rsidRPr="00000000">
        <w:rPr>
          <w:rtl w:val="0"/>
        </w:rPr>
      </w:r>
    </w:p>
    <w:p w:rsidR="00000000" w:rsidDel="00000000" w:rsidP="00000000" w:rsidRDefault="00000000" w:rsidRPr="00000000" w14:paraId="00000012">
      <w:pPr>
        <w:spacing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Les noms qui désignent des êtres vivants sont dits ‘‘</w:t>
      </w:r>
      <w:r w:rsidDel="00000000" w:rsidR="00000000" w:rsidRPr="00000000">
        <w:rPr>
          <w:rFonts w:ascii="Times New Roman" w:cs="Times New Roman" w:eastAsia="Times New Roman" w:hAnsi="Times New Roman"/>
          <w:b w:val="1"/>
          <w:sz w:val="24"/>
          <w:szCs w:val="24"/>
          <w:vertAlign w:val="baseline"/>
          <w:rtl w:val="0"/>
        </w:rPr>
        <w:t xml:space="preserve">noms animés</w:t>
      </w:r>
      <w:r w:rsidDel="00000000" w:rsidR="00000000" w:rsidRPr="00000000">
        <w:rPr>
          <w:rFonts w:ascii="Times New Roman" w:cs="Times New Roman" w:eastAsia="Times New Roman" w:hAnsi="Times New Roman"/>
          <w:sz w:val="24"/>
          <w:szCs w:val="24"/>
          <w:vertAlign w:val="baseline"/>
          <w:rtl w:val="0"/>
        </w:rPr>
        <w:t xml:space="preserve">’’. On les oppose aux noms non animés (qui désignent un objet.). Ils varient le plus souvent en genre, même si la marque du genre n’apparaît pas dans la morphologie du nom, mais à travers le seul déterminant. On parle dans ce cas de </w:t>
      </w:r>
      <w:r w:rsidDel="00000000" w:rsidR="00000000" w:rsidRPr="00000000">
        <w:rPr>
          <w:rFonts w:ascii="Times New Roman" w:cs="Times New Roman" w:eastAsia="Times New Roman" w:hAnsi="Times New Roman"/>
          <w:b w:val="1"/>
          <w:sz w:val="24"/>
          <w:szCs w:val="24"/>
          <w:vertAlign w:val="baseline"/>
          <w:rtl w:val="0"/>
        </w:rPr>
        <w:t xml:space="preserve">noms épicènes</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Exemples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époux- une épouse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partenaire - une partenaire (genre reconnu à travers le déterminant)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noms de métiers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instituteur- une institutrice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commerçant- une commerçante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dentiste  - une dentiste (genre reconnu à travers le déterminant)</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noms d’animaux</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lion- une lionne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tigre- une tigresse</w:t>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Certains noms animés changent complètement de forme au féminin</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Exemples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steward – une hôtesse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singe – une guenon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 commun - nom propre</w:t>
      </w:r>
      <w:r w:rsidDel="00000000" w:rsidR="00000000" w:rsidRPr="00000000">
        <w:rPr>
          <w:rtl w:val="0"/>
        </w:rPr>
      </w:r>
    </w:p>
    <w:p w:rsidR="00000000" w:rsidDel="00000000" w:rsidP="00000000" w:rsidRDefault="00000000" w:rsidRPr="00000000" w14:paraId="00000023">
      <w:pPr>
        <w:spacing w:line="360" w:lineRule="auto"/>
        <w:ind w:firstLine="708"/>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Un</w:t>
      </w:r>
      <w:r w:rsidDel="00000000" w:rsidR="00000000" w:rsidRPr="00000000">
        <w:rPr>
          <w:rFonts w:ascii="Times New Roman" w:cs="Times New Roman" w:eastAsia="Times New Roman" w:hAnsi="Times New Roman"/>
          <w:b w:val="1"/>
          <w:sz w:val="24"/>
          <w:szCs w:val="24"/>
          <w:vertAlign w:val="baseline"/>
          <w:rtl w:val="0"/>
        </w:rPr>
        <w:t xml:space="preserve"> nom commun</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highlight w:val="white"/>
          <w:vertAlign w:val="baseline"/>
          <w:rtl w:val="0"/>
        </w:rPr>
        <w:t xml:space="preserve">désigne tous les éléments d'un même ensemble. Il a une signification. Le </w:t>
      </w:r>
      <w:r w:rsidDel="00000000" w:rsidR="00000000" w:rsidRPr="00000000">
        <w:rPr>
          <w:rFonts w:ascii="Times New Roman" w:cs="Times New Roman" w:eastAsia="Times New Roman" w:hAnsi="Times New Roman"/>
          <w:b w:val="1"/>
          <w:sz w:val="24"/>
          <w:szCs w:val="24"/>
          <w:vertAlign w:val="baseline"/>
          <w:rtl w:val="0"/>
        </w:rPr>
        <w:t xml:space="preserve">nom propre, </w:t>
      </w:r>
      <w:r w:rsidDel="00000000" w:rsidR="00000000" w:rsidRPr="00000000">
        <w:rPr>
          <w:rFonts w:ascii="Times New Roman" w:cs="Times New Roman" w:eastAsia="Times New Roman" w:hAnsi="Times New Roman"/>
          <w:sz w:val="24"/>
          <w:szCs w:val="24"/>
          <w:vertAlign w:val="baseline"/>
          <w:rtl w:val="0"/>
        </w:rPr>
        <w:t xml:space="preserve">comme l’indique l’adjectif ‘‘propre’’, sert à désigner un seul référent</w:t>
      </w:r>
      <w:r w:rsidDel="00000000" w:rsidR="00000000" w:rsidRPr="00000000">
        <w:rPr>
          <w:rFonts w:ascii="Times New Roman" w:cs="Times New Roman" w:eastAsia="Times New Roman" w:hAnsi="Times New Roman"/>
          <w:sz w:val="24"/>
          <w:szCs w:val="24"/>
          <w:highlight w:val="white"/>
          <w:vertAlign w:val="baseline"/>
          <w:rtl w:val="0"/>
        </w:rPr>
        <w:t xml:space="preserve">  (un nom de lieu, de personne, etc.). Sémantiquement, il n’a pas une définition. Sur le plan graphique, cette catégorie de noms s’écrit avec une majuscule. Il s’emploie généralement sans déterminant, sauf s’il désigne métonymiquement, les livres du même écrivain, les œuvres du même artiste (les Balzac, les Molière, les Zola) ou lorsqu’on évoque des personnes ayant le même nom de famille (Les Rougon-Maquart), sans prendre la marque du pluriel. Certains noms de lieux sont également précédés d’un déterminant (voir la partie « Distribution »).</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Noms comptables- noms non comptables</w:t>
      </w:r>
      <w:r w:rsidDel="00000000" w:rsidR="00000000" w:rsidRPr="00000000">
        <w:rPr>
          <w:rtl w:val="0"/>
        </w:rPr>
      </w:r>
    </w:p>
    <w:p w:rsidR="00000000" w:rsidDel="00000000" w:rsidP="00000000" w:rsidRDefault="00000000" w:rsidRPr="00000000" w14:paraId="00000025">
      <w:pPr>
        <w:spacing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Un</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nom comptable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highlight w:val="white"/>
          <w:vertAlign w:val="baseline"/>
          <w:rtl w:val="0"/>
        </w:rPr>
        <w:t xml:space="preserve">est un nom qui désigne une réalité qu’on peut dénombrer, il est associable à tous les déterminants indiquant la quantité (numéraux ou indéfinis : </w:t>
      </w:r>
      <w:r w:rsidDel="00000000" w:rsidR="00000000" w:rsidRPr="00000000">
        <w:rPr>
          <w:rFonts w:ascii="Times New Roman" w:cs="Times New Roman" w:eastAsia="Times New Roman" w:hAnsi="Times New Roman"/>
          <w:i w:val="1"/>
          <w:sz w:val="24"/>
          <w:szCs w:val="24"/>
          <w:highlight w:val="white"/>
          <w:vertAlign w:val="baseline"/>
          <w:rtl w:val="0"/>
        </w:rPr>
        <w:t xml:space="preserve">un</w:t>
      </w:r>
      <w:r w:rsidDel="00000000" w:rsidR="00000000" w:rsidRPr="00000000">
        <w:rPr>
          <w:rFonts w:ascii="Times New Roman" w:cs="Times New Roman" w:eastAsia="Times New Roman" w:hAnsi="Times New Roman"/>
          <w:sz w:val="24"/>
          <w:szCs w:val="24"/>
          <w:highlight w:val="white"/>
          <w:vertAlign w:val="baseline"/>
          <w:rtl w:val="0"/>
        </w:rPr>
        <w:t xml:space="preserve"> livre, </w:t>
      </w:r>
      <w:r w:rsidDel="00000000" w:rsidR="00000000" w:rsidRPr="00000000">
        <w:rPr>
          <w:rFonts w:ascii="Times New Roman" w:cs="Times New Roman" w:eastAsia="Times New Roman" w:hAnsi="Times New Roman"/>
          <w:i w:val="1"/>
          <w:sz w:val="24"/>
          <w:szCs w:val="24"/>
          <w:highlight w:val="white"/>
          <w:vertAlign w:val="baseline"/>
          <w:rtl w:val="0"/>
        </w:rPr>
        <w:t xml:space="preserve">dix</w:t>
      </w:r>
      <w:r w:rsidDel="00000000" w:rsidR="00000000" w:rsidRPr="00000000">
        <w:rPr>
          <w:rFonts w:ascii="Times New Roman" w:cs="Times New Roman" w:eastAsia="Times New Roman" w:hAnsi="Times New Roman"/>
          <w:sz w:val="24"/>
          <w:szCs w:val="24"/>
          <w:highlight w:val="white"/>
          <w:vertAlign w:val="baseline"/>
          <w:rtl w:val="0"/>
        </w:rPr>
        <w:t xml:space="preserve"> livres, </w:t>
      </w:r>
      <w:r w:rsidDel="00000000" w:rsidR="00000000" w:rsidRPr="00000000">
        <w:rPr>
          <w:rFonts w:ascii="Times New Roman" w:cs="Times New Roman" w:eastAsia="Times New Roman" w:hAnsi="Times New Roman"/>
          <w:i w:val="1"/>
          <w:sz w:val="24"/>
          <w:szCs w:val="24"/>
          <w:highlight w:val="white"/>
          <w:vertAlign w:val="baseline"/>
          <w:rtl w:val="0"/>
        </w:rPr>
        <w:t xml:space="preserve">quelques</w:t>
      </w:r>
      <w:r w:rsidDel="00000000" w:rsidR="00000000" w:rsidRPr="00000000">
        <w:rPr>
          <w:rFonts w:ascii="Times New Roman" w:cs="Times New Roman" w:eastAsia="Times New Roman" w:hAnsi="Times New Roman"/>
          <w:sz w:val="24"/>
          <w:szCs w:val="24"/>
          <w:highlight w:val="white"/>
          <w:vertAlign w:val="baseline"/>
          <w:rtl w:val="0"/>
        </w:rPr>
        <w:t xml:space="preserve"> livres, </w:t>
      </w:r>
      <w:r w:rsidDel="00000000" w:rsidR="00000000" w:rsidRPr="00000000">
        <w:rPr>
          <w:rFonts w:ascii="Times New Roman" w:cs="Times New Roman" w:eastAsia="Times New Roman" w:hAnsi="Times New Roman"/>
          <w:i w:val="1"/>
          <w:sz w:val="24"/>
          <w:szCs w:val="24"/>
          <w:highlight w:val="white"/>
          <w:vertAlign w:val="baseline"/>
          <w:rtl w:val="0"/>
        </w:rPr>
        <w:t xml:space="preserve">plusieurs</w:t>
      </w:r>
      <w:r w:rsidDel="00000000" w:rsidR="00000000" w:rsidRPr="00000000">
        <w:rPr>
          <w:rFonts w:ascii="Times New Roman" w:cs="Times New Roman" w:eastAsia="Times New Roman" w:hAnsi="Times New Roman"/>
          <w:sz w:val="24"/>
          <w:szCs w:val="24"/>
          <w:highlight w:val="white"/>
          <w:vertAlign w:val="baseline"/>
          <w:rtl w:val="0"/>
        </w:rPr>
        <w:t xml:space="preserve"> livres). On le distingue du nom </w:t>
      </w:r>
      <w:r w:rsidDel="00000000" w:rsidR="00000000" w:rsidRPr="00000000">
        <w:rPr>
          <w:rFonts w:ascii="Times New Roman" w:cs="Times New Roman" w:eastAsia="Times New Roman" w:hAnsi="Times New Roman"/>
          <w:b w:val="1"/>
          <w:sz w:val="24"/>
          <w:szCs w:val="24"/>
          <w:highlight w:val="white"/>
          <w:vertAlign w:val="baseline"/>
          <w:rtl w:val="0"/>
        </w:rPr>
        <w:t xml:space="preserve">non comptable</w:t>
      </w:r>
      <w:r w:rsidDel="00000000" w:rsidR="00000000" w:rsidRPr="00000000">
        <w:rPr>
          <w:rFonts w:ascii="Times New Roman" w:cs="Times New Roman" w:eastAsia="Times New Roman" w:hAnsi="Times New Roman"/>
          <w:sz w:val="24"/>
          <w:szCs w:val="24"/>
          <w:highlight w:val="white"/>
          <w:vertAlign w:val="baseline"/>
          <w:rtl w:val="0"/>
        </w:rPr>
        <w:t xml:space="preserve">, ou </w:t>
      </w:r>
      <w:r w:rsidDel="00000000" w:rsidR="00000000" w:rsidRPr="00000000">
        <w:rPr>
          <w:rFonts w:ascii="Times New Roman" w:cs="Times New Roman" w:eastAsia="Times New Roman" w:hAnsi="Times New Roman"/>
          <w:b w:val="1"/>
          <w:sz w:val="24"/>
          <w:szCs w:val="24"/>
          <w:highlight w:val="white"/>
          <w:vertAlign w:val="baseline"/>
          <w:rtl w:val="0"/>
        </w:rPr>
        <w:t xml:space="preserve">massif</w:t>
      </w:r>
      <w:r w:rsidDel="00000000" w:rsidR="00000000" w:rsidRPr="00000000">
        <w:rPr>
          <w:rFonts w:ascii="Times New Roman" w:cs="Times New Roman" w:eastAsia="Times New Roman" w:hAnsi="Times New Roman"/>
          <w:sz w:val="24"/>
          <w:szCs w:val="24"/>
          <w:highlight w:val="white"/>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blé, lait, sable, pluie, etc.) qui est précédé du déterminant partitif (</w:t>
      </w:r>
      <w:r w:rsidDel="00000000" w:rsidR="00000000" w:rsidRPr="00000000">
        <w:rPr>
          <w:rFonts w:ascii="Times New Roman" w:cs="Times New Roman" w:eastAsia="Times New Roman" w:hAnsi="Times New Roman"/>
          <w:i w:val="1"/>
          <w:sz w:val="24"/>
          <w:szCs w:val="24"/>
          <w:vertAlign w:val="baseline"/>
          <w:rtl w:val="0"/>
        </w:rPr>
        <w:t xml:space="preserve">du</w:t>
      </w:r>
      <w:r w:rsidDel="00000000" w:rsidR="00000000" w:rsidRPr="00000000">
        <w:rPr>
          <w:rFonts w:ascii="Times New Roman" w:cs="Times New Roman" w:eastAsia="Times New Roman" w:hAnsi="Times New Roman"/>
          <w:sz w:val="24"/>
          <w:szCs w:val="24"/>
          <w:vertAlign w:val="baseline"/>
          <w:rtl w:val="0"/>
        </w:rPr>
        <w:t xml:space="preserve"> blé, </w:t>
      </w:r>
      <w:r w:rsidDel="00000000" w:rsidR="00000000" w:rsidRPr="00000000">
        <w:rPr>
          <w:rFonts w:ascii="Times New Roman" w:cs="Times New Roman" w:eastAsia="Times New Roman" w:hAnsi="Times New Roman"/>
          <w:i w:val="1"/>
          <w:sz w:val="24"/>
          <w:szCs w:val="24"/>
          <w:vertAlign w:val="baseline"/>
          <w:rtl w:val="0"/>
        </w:rPr>
        <w:t xml:space="preserve">de la</w:t>
      </w:r>
      <w:r w:rsidDel="00000000" w:rsidR="00000000" w:rsidRPr="00000000">
        <w:rPr>
          <w:rFonts w:ascii="Times New Roman" w:cs="Times New Roman" w:eastAsia="Times New Roman" w:hAnsi="Times New Roman"/>
          <w:sz w:val="24"/>
          <w:szCs w:val="24"/>
          <w:vertAlign w:val="baseline"/>
          <w:rtl w:val="0"/>
        </w:rPr>
        <w:t xml:space="preserve"> pluie, etc.)</w:t>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Il existe des noms qui peuvent être, selon l’emploi, comptables ou non comptables</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Exemples</w:t>
      </w:r>
      <w:r w:rsidDel="00000000" w:rsidR="00000000" w:rsidRPr="00000000">
        <w:rPr>
          <w:rFonts w:ascii="Times New Roman" w:cs="Times New Roman" w:eastAsia="Times New Roman" w:hAnsi="Times New Roman"/>
          <w:sz w:val="24"/>
          <w:szCs w:val="24"/>
          <w:vertAlign w:val="baseline"/>
          <w:rtl w:val="0"/>
        </w:rPr>
        <w:t xml:space="preserve"> : </w:t>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paysan a vendu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moutons. (comptable, il désigne le nombre)</w:t>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Nous avons mangé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mouton. (non comptable, il désigne la substance)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Noms collectifs </w:t>
      </w: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Un</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nom collectif</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highlight w:val="white"/>
          <w:vertAlign w:val="baseline"/>
          <w:rtl w:val="0"/>
        </w:rPr>
        <w:t xml:space="preserve">est un nom dont le singulier désigne un ensemble composé de plusieurs éléments (groupe, communauté, équipe, troupeau, ensemble, etc.). </w:t>
      </w: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Certains noms collectifs admettent deux possibilités d’accord lorsqu’ils sont suivis d’un nom qui les complète.</w:t>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Exemples</w:t>
      </w:r>
      <w:r w:rsidDel="00000000" w:rsidR="00000000" w:rsidRPr="00000000">
        <w:rPr>
          <w:rFonts w:ascii="Times New Roman" w:cs="Times New Roman" w:eastAsia="Times New Roman" w:hAnsi="Times New Roman"/>
          <w:sz w:val="24"/>
          <w:szCs w:val="24"/>
          <w:vertAlign w:val="baseline"/>
          <w:rtl w:val="0"/>
        </w:rPr>
        <w:t xml:space="preserve"> : </w:t>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majorité des citoyens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voté/ La majorité des citoyens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voté.</w:t>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moitié des élèves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répondu à la question/ La moitié des élèves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répondu à la question.</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Noms ayant un seul genre</w:t>
      </w: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Il existe des noms qui ne s’emploient qu’au </w:t>
      </w:r>
      <w:r w:rsidDel="00000000" w:rsidR="00000000" w:rsidRPr="00000000">
        <w:rPr>
          <w:rFonts w:ascii="Times New Roman" w:cs="Times New Roman" w:eastAsia="Times New Roman" w:hAnsi="Times New Roman"/>
          <w:b w:val="1"/>
          <w:sz w:val="24"/>
          <w:szCs w:val="24"/>
          <w:vertAlign w:val="baseline"/>
          <w:rtl w:val="0"/>
        </w:rPr>
        <w:t xml:space="preserve">masculin</w:t>
      </w:r>
      <w:r w:rsidDel="00000000" w:rsidR="00000000" w:rsidRPr="00000000">
        <w:rPr>
          <w:rFonts w:ascii="Times New Roman" w:cs="Times New Roman" w:eastAsia="Times New Roman" w:hAnsi="Times New Roman"/>
          <w:sz w:val="24"/>
          <w:szCs w:val="24"/>
          <w:vertAlign w:val="baseline"/>
          <w:rtl w:val="0"/>
        </w:rPr>
        <w:t xml:space="preserve">. Il s’agit notamment de noms de métiers, qui gardent la même forme au féminin. Même si certains noms admettent désormais le féminin, le masculin reste également employé (une architecte, une juge, etc. </w:t>
      </w:r>
      <w:r w:rsidDel="00000000" w:rsidR="00000000" w:rsidRPr="00000000">
        <w:rPr>
          <w:rFonts w:ascii="Times New Roman" w:cs="Times New Roman" w:eastAsia="Times New Roman" w:hAnsi="Times New Roman"/>
          <w:i w:val="1"/>
          <w:sz w:val="24"/>
          <w:szCs w:val="24"/>
          <w:vertAlign w:val="baseline"/>
          <w:rtl w:val="0"/>
        </w:rPr>
        <w:t xml:space="preserve">Cette femme est un architecte de grand talent </w:t>
      </w:r>
      <w:r w:rsidDel="00000000" w:rsidR="00000000" w:rsidRPr="00000000">
        <w:rPr>
          <w:rFonts w:ascii="Times New Roman" w:cs="Times New Roman" w:eastAsia="Times New Roman" w:hAnsi="Times New Roman"/>
          <w:sz w:val="24"/>
          <w:szCs w:val="24"/>
          <w:vertAlign w:val="baseline"/>
          <w:rtl w:val="0"/>
        </w:rPr>
        <w:t xml:space="preserve">(ou</w:t>
      </w:r>
      <w:r w:rsidDel="00000000" w:rsidR="00000000" w:rsidRPr="00000000">
        <w:rPr>
          <w:rFonts w:ascii="Times New Roman" w:cs="Times New Roman" w:eastAsia="Times New Roman" w:hAnsi="Times New Roman"/>
          <w:i w:val="1"/>
          <w:sz w:val="24"/>
          <w:szCs w:val="24"/>
          <w:vertAlign w:val="baseline"/>
          <w:rtl w:val="0"/>
        </w:rPr>
        <w:t xml:space="preserve"> Cette femme est une architecte</w:t>
      </w:r>
      <w:r w:rsidDel="00000000" w:rsidR="00000000" w:rsidRPr="00000000">
        <w:rPr>
          <w:rFonts w:ascii="Times New Roman" w:cs="Times New Roman" w:eastAsia="Times New Roman" w:hAnsi="Times New Roman"/>
          <w:sz w:val="24"/>
          <w:szCs w:val="24"/>
          <w:vertAlign w:val="baseline"/>
          <w:rtl w:val="0"/>
        </w:rPr>
        <w:t xml:space="preserve">…). En voici les exemples les plus illustres : </w:t>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1"/>
        <w:tblW w:w="9150.0" w:type="dxa"/>
        <w:jc w:val="center"/>
        <w:tblLayout w:type="fixed"/>
        <w:tblLook w:val="0000"/>
      </w:tblPr>
      <w:tblGrid>
        <w:gridCol w:w="2295"/>
        <w:gridCol w:w="2280"/>
        <w:gridCol w:w="2280"/>
        <w:gridCol w:w="2295"/>
        <w:tblGridChange w:id="0">
          <w:tblGrid>
            <w:gridCol w:w="2295"/>
            <w:gridCol w:w="2280"/>
            <w:gridCol w:w="2280"/>
            <w:gridCol w:w="2295"/>
          </w:tblGrid>
        </w:tblGridChange>
      </w:tblGrid>
      <w:tr>
        <w:tc>
          <w:tcPr>
            <w:vAlign w:val="top"/>
          </w:tcPr>
          <w:p w:rsidR="00000000" w:rsidDel="00000000" w:rsidP="00000000" w:rsidRDefault="00000000" w:rsidRPr="00000000" w14:paraId="00000036">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acquéreur</w:t>
              <w:br w:type="textWrapping"/>
              <w:t xml:space="preserve">agent</w:t>
              <w:br w:type="textWrapping"/>
              <w:t xml:space="preserve">agresseur</w:t>
              <w:br w:type="textWrapping"/>
              <w:t xml:space="preserve">amateur</w:t>
              <w:br w:type="textWrapping"/>
              <w:t xml:space="preserve">architecte</w:t>
              <w:br w:type="textWrapping"/>
              <w:t xml:space="preserve">armateur</w:t>
              <w:br w:type="textWrapping"/>
              <w:t xml:space="preserve">assesseur</w:t>
              <w:br w:type="textWrapping"/>
              <w:t xml:space="preserve">auteur</w:t>
              <w:br w:type="textWrapping"/>
              <w:t xml:space="preserve">avocat</w:t>
              <w:br w:type="textWrapping"/>
              <w:t xml:space="preserve">bâtonnier </w:t>
            </w:r>
          </w:p>
        </w:tc>
        <w:tc>
          <w:tcPr>
            <w:vAlign w:val="top"/>
          </w:tcPr>
          <w:p w:rsidR="00000000" w:rsidDel="00000000" w:rsidP="00000000" w:rsidRDefault="00000000" w:rsidRPr="00000000" w14:paraId="00000037">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cadre</w:t>
              <w:br w:type="textWrapping"/>
              <w:t xml:space="preserve">censeur</w:t>
              <w:br w:type="textWrapping"/>
              <w:t xml:space="preserve">chef</w:t>
              <w:br w:type="textWrapping"/>
              <w:t xml:space="preserve">commissaire</w:t>
              <w:br w:type="textWrapping"/>
              <w:t xml:space="preserve">conjoint</w:t>
              <w:br w:type="textWrapping"/>
              <w:t xml:space="preserve">défenseur</w:t>
              <w:br w:type="textWrapping"/>
              <w:t xml:space="preserve">détective</w:t>
              <w:br w:type="textWrapping"/>
              <w:t xml:space="preserve">diplomate</w:t>
              <w:br w:type="textWrapping"/>
              <w:t xml:space="preserve">écrivain</w:t>
              <w:br w:type="textWrapping"/>
              <w:t xml:space="preserve">fossoyeur</w:t>
            </w:r>
          </w:p>
        </w:tc>
        <w:tc>
          <w:tcPr>
            <w:vAlign w:val="top"/>
          </w:tcPr>
          <w:p w:rsidR="00000000" w:rsidDel="00000000" w:rsidP="00000000" w:rsidRDefault="00000000" w:rsidRPr="00000000" w14:paraId="00000038">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gourmet</w:t>
              <w:br w:type="textWrapping"/>
              <w:t xml:space="preserve">imposteur</w:t>
              <w:br w:type="textWrapping"/>
              <w:t xml:space="preserve">imprimeur</w:t>
              <w:br w:type="textWrapping"/>
              <w:t xml:space="preserve">ingénieur</w:t>
              <w:br w:type="textWrapping"/>
              <w:t xml:space="preserve">juge</w:t>
              <w:br w:type="textWrapping"/>
              <w:t xml:space="preserve">magistrat</w:t>
              <w:br w:type="textWrapping"/>
              <w:t xml:space="preserve">mannequin</w:t>
              <w:br w:type="textWrapping"/>
              <w:t xml:space="preserve">médecin</w:t>
              <w:br w:type="textWrapping"/>
              <w:t xml:space="preserve">peintre</w:t>
            </w:r>
          </w:p>
        </w:tc>
        <w:tc>
          <w:tcPr>
            <w:vAlign w:val="top"/>
          </w:tcPr>
          <w:p w:rsidR="00000000" w:rsidDel="00000000" w:rsidP="00000000" w:rsidRDefault="00000000" w:rsidRPr="00000000" w14:paraId="00000039">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pilote</w:t>
              <w:br w:type="textWrapping"/>
              <w:t xml:space="preserve">possesseur</w:t>
              <w:br w:type="textWrapping"/>
              <w:t xml:space="preserve">professeur</w:t>
              <w:br w:type="textWrapping"/>
              <w:t xml:space="preserve">recteur</w:t>
              <w:br w:type="textWrapping"/>
              <w:t xml:space="preserve">sculpteur</w:t>
              <w:br w:type="textWrapping"/>
              <w:t xml:space="preserve">successeur</w:t>
              <w:br w:type="textWrapping"/>
              <w:t xml:space="preserve">témoin</w:t>
              <w:br w:type="textWrapping"/>
              <w:t xml:space="preserve">usager</w:t>
              <w:br w:type="textWrapping"/>
              <w:t xml:space="preserve">vainqueur, </w:t>
            </w:r>
            <w:r w:rsidDel="00000000" w:rsidR="00000000" w:rsidRPr="00000000">
              <w:rPr>
                <w:rFonts w:ascii="Times New Roman" w:cs="Times New Roman" w:eastAsia="Times New Roman" w:hAnsi="Times New Roman"/>
                <w:i w:val="1"/>
                <w:sz w:val="24"/>
                <w:szCs w:val="24"/>
                <w:vertAlign w:val="baseline"/>
                <w:rtl w:val="0"/>
              </w:rPr>
              <w:t xml:space="preserve">etc.</w:t>
            </w:r>
            <w:r w:rsidDel="00000000" w:rsidR="00000000" w:rsidRPr="00000000">
              <w:rPr>
                <w:rtl w:val="0"/>
              </w:rPr>
            </w:r>
          </w:p>
        </w:tc>
      </w:tr>
    </w:tbl>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D’autres noms n’admettent que le féminin, même s’ils sont moins nombreux</w:t>
      </w:r>
    </w:p>
    <w:tbl>
      <w:tblPr>
        <w:tblStyle w:val="Table2"/>
        <w:tblW w:w="6870.0" w:type="dxa"/>
        <w:jc w:val="center"/>
        <w:tblLayout w:type="fixed"/>
        <w:tblLook w:val="0000"/>
      </w:tblPr>
      <w:tblGrid>
        <w:gridCol w:w="2295"/>
        <w:gridCol w:w="2280"/>
        <w:gridCol w:w="2295"/>
        <w:tblGridChange w:id="0">
          <w:tblGrid>
            <w:gridCol w:w="2295"/>
            <w:gridCol w:w="2280"/>
            <w:gridCol w:w="2295"/>
          </w:tblGrid>
        </w:tblGridChange>
      </w:tblGrid>
      <w:tr>
        <w:tc>
          <w:tcPr>
            <w:vAlign w:val="top"/>
          </w:tcPr>
          <w:p w:rsidR="00000000" w:rsidDel="00000000" w:rsidP="00000000" w:rsidRDefault="00000000" w:rsidRPr="00000000" w14:paraId="0000003C">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altesse</w:t>
              <w:br w:type="textWrapping"/>
              <w:t xml:space="preserve">canaille</w:t>
              <w:br w:type="textWrapping"/>
              <w:t xml:space="preserve">idole</w:t>
            </w:r>
          </w:p>
        </w:tc>
        <w:tc>
          <w:tcPr>
            <w:vAlign w:val="top"/>
          </w:tcPr>
          <w:p w:rsidR="00000000" w:rsidDel="00000000" w:rsidP="00000000" w:rsidRDefault="00000000" w:rsidRPr="00000000" w14:paraId="0000003D">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personne</w:t>
              <w:br w:type="textWrapping"/>
              <w:t xml:space="preserve">recrue</w:t>
              <w:br w:type="textWrapping"/>
              <w:t xml:space="preserve">sentinelle</w:t>
            </w:r>
          </w:p>
        </w:tc>
        <w:tc>
          <w:tcPr>
            <w:vAlign w:val="top"/>
          </w:tcPr>
          <w:p w:rsidR="00000000" w:rsidDel="00000000" w:rsidP="00000000" w:rsidRDefault="00000000" w:rsidRPr="00000000" w14:paraId="0000003E">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star</w:t>
              <w:br w:type="textWrapping"/>
              <w:t xml:space="preserve">vedette</w:t>
              <w:br w:type="textWrapping"/>
              <w:t xml:space="preserve">victime, </w:t>
            </w:r>
            <w:r w:rsidDel="00000000" w:rsidR="00000000" w:rsidRPr="00000000">
              <w:rPr>
                <w:rFonts w:ascii="Times New Roman" w:cs="Times New Roman" w:eastAsia="Times New Roman" w:hAnsi="Times New Roman"/>
                <w:i w:val="1"/>
                <w:sz w:val="24"/>
                <w:szCs w:val="24"/>
                <w:vertAlign w:val="baseline"/>
                <w:rtl w:val="0"/>
              </w:rPr>
              <w:t xml:space="preserve">etc.</w:t>
            </w:r>
            <w:r w:rsidDel="00000000" w:rsidR="00000000" w:rsidRPr="00000000">
              <w:rPr>
                <w:rtl w:val="0"/>
              </w:rPr>
            </w:r>
          </w:p>
        </w:tc>
      </w:tr>
    </w:tb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spacing w:line="360" w:lineRule="auto"/>
        <w:ind w:firstLine="708"/>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68"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1428"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4">
      <w:pPr>
        <w:spacing w:line="360" w:lineRule="auto"/>
        <w:ind w:firstLine="708"/>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9">
      <w:pPr>
        <w:spacing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4A">
      <w:pPr>
        <w:spacing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Travaux dirigés</w:t>
      </w: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Donnez le féminin des noms suivants (Vous pouvez utiliser un dictionnaire)</w:t>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Un candidat - un couturier - un patron - un danseur - un lecteur - un neveu - un tigre - un chameau - un Andalou - un héros - un Turc - un religieux - un roi - un canard - un dindon - un époux - un mulet - un </w:t>
      </w:r>
      <w:r w:rsidDel="00000000" w:rsidR="00000000" w:rsidRPr="00000000">
        <w:rPr>
          <w:rFonts w:ascii="Times New Roman" w:cs="Times New Roman" w:eastAsia="Times New Roman" w:hAnsi="Times New Roman"/>
          <w:sz w:val="24"/>
          <w:szCs w:val="24"/>
          <w:highlight w:val="yellow"/>
          <w:vertAlign w:val="baseline"/>
          <w:rtl w:val="0"/>
        </w:rPr>
        <w:t xml:space="preserve">bélier</w:t>
      </w:r>
      <w:r w:rsidDel="00000000" w:rsidR="00000000" w:rsidRPr="00000000">
        <w:rPr>
          <w:rFonts w:ascii="Times New Roman" w:cs="Times New Roman" w:eastAsia="Times New Roman" w:hAnsi="Times New Roman"/>
          <w:sz w:val="24"/>
          <w:szCs w:val="24"/>
          <w:vertAlign w:val="baseline"/>
          <w:rtl w:val="0"/>
        </w:rPr>
        <w:t xml:space="preserve"> - un singe - un bouc.   </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Mettez ces noms au pluriel et commentez les formes particulières</w:t>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Tuyau - détail - hôpital - bal - voix – hibou – verrou - travail - rail - poids - adieu </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Relevez les groupes nominaux, puis soulignez les noms-noyaux. </w:t>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Une immense plage s’étendait à perte de vue– Il dort beaucoup – Écrivez correctement – la cour de récréation – une jolie cravate rayée – Bonjour, tu vas bien ? – un petit porte-monnaie en cuir. </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Dans chaque GN, souligne les expansions du nom. </w:t>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 petit Chaperon rouge La petite fille aux allumettes Les habits neufs de l’empereur Les six compagnons qui viennent à bout de tout. Le Chat botté Le stoïque Soldat de plomb</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Classe ces GN dans le tableau. nom + adjectif/ nom + complément du nom/ nom + proposition relative </w:t>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une cour de récréation </w:t>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un bonbon qui fond dans la bouche </w:t>
      </w:r>
    </w:p>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une tarte aux fraises </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des exercices faciles </w:t>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un film qui fait peur </w:t>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B">
      <w:pPr>
        <w:spacing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f2f4fc" w:val="clear"/>
        <w:spacing w:after="136" w:before="272"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Martin Riegel, Jean-Christophe Pellat et René Rioul,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Grammaire méthodique du français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ISEAH du Kef                                                                                                </w:t>
    </w:r>
    <w:r w:rsidDel="00000000" w:rsidR="00000000" w:rsidRPr="00000000">
      <w:rPr>
        <w:rtl w:val="0"/>
      </w:rPr>
      <w:t xml:space="preserve">2</w:t>
    </w:r>
    <w:r w:rsidDel="00000000" w:rsidR="00000000" w:rsidRPr="00000000">
      <w:rPr>
        <w:vertAlign w:val="superscript"/>
        <w:rtl w:val="0"/>
      </w:rPr>
      <w:t xml:space="preserve"> ème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semestre                                                                 Cours de grammaire française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upperRoman"/>
      <w:lvlText w:val="%1-"/>
      <w:lvlJc w:val="left"/>
      <w:pPr>
        <w:ind w:left="1428" w:hanging="719.9999999999999"/>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grammaire.reverso.net/1_3_01_Les_fonctions.shtml"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