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5DF1A" w14:textId="77777777" w:rsidR="00B65BA6" w:rsidRDefault="00047C24">
      <w:r>
        <w:t>Suite du cours :</w:t>
      </w:r>
    </w:p>
    <w:p w14:paraId="55FCC102" w14:textId="77777777" w:rsidR="00A74FC3" w:rsidRPr="00047C24" w:rsidRDefault="00047C24" w:rsidP="00047C24">
      <w:pPr>
        <w:jc w:val="center"/>
        <w:rPr>
          <w:rFonts w:ascii="Cambria" w:hAnsi="Cambria"/>
          <w:b/>
          <w:bCs/>
          <w:color w:val="FF0000"/>
          <w:sz w:val="24"/>
        </w:rPr>
      </w:pPr>
      <w:r>
        <w:rPr>
          <w:rFonts w:ascii="Cambria" w:hAnsi="Cambria"/>
          <w:b/>
          <w:bCs/>
          <w:color w:val="FF0000"/>
          <w:sz w:val="24"/>
        </w:rPr>
        <w:t>Chapitre 5</w:t>
      </w:r>
      <w:r w:rsidRPr="00467E18">
        <w:rPr>
          <w:rFonts w:ascii="Cambria" w:hAnsi="Cambria"/>
          <w:b/>
          <w:bCs/>
          <w:color w:val="FF0000"/>
          <w:sz w:val="24"/>
        </w:rPr>
        <w:t xml:space="preserve"> : Comment l’assurance et la protection sociale contribuent-elles à la gestion des risques dans les sociétés développées ?</w:t>
      </w:r>
    </w:p>
    <w:p w14:paraId="5C855E63" w14:textId="77777777" w:rsidR="00A74FC3" w:rsidRDefault="00A74FC3" w:rsidP="00A74FC3">
      <w:pPr>
        <w:autoSpaceDE w:val="0"/>
        <w:autoSpaceDN w:val="0"/>
        <w:adjustRightInd w:val="0"/>
        <w:spacing w:after="0" w:line="240" w:lineRule="auto"/>
        <w:rPr>
          <w:rFonts w:ascii="Cambria" w:hAnsi="Cambria" w:cs="Arial"/>
          <w:b/>
          <w:bCs/>
          <w:color w:val="FF0000"/>
          <w:sz w:val="24"/>
          <w:szCs w:val="24"/>
        </w:rPr>
      </w:pPr>
    </w:p>
    <w:p w14:paraId="0382F50E" w14:textId="77777777" w:rsidR="00A74FC3" w:rsidRDefault="00A74FC3" w:rsidP="00A74FC3">
      <w:pPr>
        <w:autoSpaceDE w:val="0"/>
        <w:autoSpaceDN w:val="0"/>
        <w:adjustRightInd w:val="0"/>
        <w:spacing w:after="0" w:line="240" w:lineRule="auto"/>
        <w:rPr>
          <w:rFonts w:ascii="Cambria" w:hAnsi="Cambria" w:cs="Arial"/>
          <w:b/>
          <w:bCs/>
          <w:color w:val="FF0000"/>
          <w:sz w:val="24"/>
          <w:szCs w:val="24"/>
        </w:rPr>
      </w:pPr>
      <w:r>
        <w:rPr>
          <w:rFonts w:ascii="Cambria" w:hAnsi="Cambria" w:cs="Arial"/>
          <w:b/>
          <w:bCs/>
          <w:color w:val="FF0000"/>
          <w:sz w:val="24"/>
          <w:szCs w:val="24"/>
        </w:rPr>
        <w:t>1.</w:t>
      </w:r>
      <w:r w:rsidRPr="0013057D">
        <w:rPr>
          <w:rFonts w:ascii="Cambria" w:hAnsi="Cambria" w:cs="Arial"/>
          <w:b/>
          <w:bCs/>
          <w:color w:val="FF0000"/>
          <w:sz w:val="24"/>
          <w:szCs w:val="24"/>
        </w:rPr>
        <w:t xml:space="preserve"> Les risques économiques et sociaux auxquels sont confrontés les individus</w:t>
      </w:r>
    </w:p>
    <w:p w14:paraId="51FFBB94" w14:textId="77777777" w:rsidR="00047C24" w:rsidRDefault="00047C24" w:rsidP="00A74FC3">
      <w:pPr>
        <w:autoSpaceDE w:val="0"/>
        <w:autoSpaceDN w:val="0"/>
        <w:adjustRightInd w:val="0"/>
        <w:spacing w:after="0" w:line="240" w:lineRule="auto"/>
        <w:rPr>
          <w:rFonts w:ascii="Cambria" w:hAnsi="Cambria" w:cs="Arial"/>
          <w:b/>
          <w:bCs/>
          <w:sz w:val="24"/>
          <w:szCs w:val="24"/>
        </w:rPr>
      </w:pPr>
    </w:p>
    <w:p w14:paraId="5ACBFE05" w14:textId="77777777" w:rsidR="00A74FC3" w:rsidRPr="00CC1514" w:rsidRDefault="00A74FC3" w:rsidP="00A74FC3">
      <w:pPr>
        <w:pStyle w:val="Sansinterligne"/>
        <w:rPr>
          <w:rFonts w:ascii="Cambria" w:hAnsi="Cambria"/>
          <w:sz w:val="12"/>
          <w:szCs w:val="12"/>
        </w:rPr>
      </w:pPr>
    </w:p>
    <w:p w14:paraId="5EDCFD2D" w14:textId="77777777" w:rsidR="00A74FC3" w:rsidRDefault="004F5D53" w:rsidP="004F5D53">
      <w:pPr>
        <w:pStyle w:val="Sansinterligne"/>
        <w:ind w:firstLine="708"/>
        <w:jc w:val="both"/>
        <w:rPr>
          <w:rFonts w:ascii="Cambria" w:hAnsi="Cambria"/>
          <w:color w:val="000000" w:themeColor="text1"/>
        </w:rPr>
      </w:pPr>
      <w:r>
        <w:rPr>
          <w:rFonts w:ascii="Cambria" w:hAnsi="Cambria"/>
          <w:b/>
          <w:bCs/>
          <w:color w:val="00B050"/>
        </w:rPr>
        <w:t>1.2</w:t>
      </w:r>
      <w:r w:rsidRPr="0065571D">
        <w:rPr>
          <w:rFonts w:ascii="Cambria" w:hAnsi="Cambria"/>
          <w:b/>
          <w:bCs/>
          <w:color w:val="00B050"/>
        </w:rPr>
        <w:t xml:space="preserve">. </w:t>
      </w:r>
      <w:r>
        <w:rPr>
          <w:rFonts w:ascii="Cambria" w:hAnsi="Cambria"/>
          <w:b/>
          <w:bCs/>
          <w:color w:val="00B050"/>
        </w:rPr>
        <w:t>L’individu face au risque</w:t>
      </w:r>
    </w:p>
    <w:p w14:paraId="5EE98EBF" w14:textId="77777777" w:rsidR="004F5D53" w:rsidRDefault="004F5D53" w:rsidP="00A74FC3">
      <w:pPr>
        <w:pStyle w:val="Sansinterligne"/>
        <w:jc w:val="both"/>
        <w:rPr>
          <w:rFonts w:ascii="Cambria" w:hAnsi="Cambria"/>
          <w:color w:val="000000" w:themeColor="text1"/>
        </w:rPr>
      </w:pPr>
    </w:p>
    <w:p w14:paraId="411628B4" w14:textId="77777777" w:rsidR="00A74FC3" w:rsidRPr="00467E18" w:rsidRDefault="00A74FC3" w:rsidP="00A74FC3">
      <w:pPr>
        <w:pStyle w:val="Sansinterligne"/>
        <w:jc w:val="both"/>
        <w:rPr>
          <w:rFonts w:ascii="Cambria" w:hAnsi="Cambria"/>
          <w:color w:val="000000" w:themeColor="text1"/>
        </w:rPr>
      </w:pPr>
      <w:r w:rsidRPr="00467E18">
        <w:rPr>
          <w:rFonts w:ascii="Cambria" w:hAnsi="Cambria"/>
          <w:color w:val="000000" w:themeColor="text1"/>
        </w:rPr>
        <w:t>Vous devez</w:t>
      </w:r>
      <w:r>
        <w:rPr>
          <w:rFonts w:ascii="Cambria" w:hAnsi="Cambria"/>
          <w:color w:val="000000" w:themeColor="text1"/>
        </w:rPr>
        <w:t>, à l’issue de ces exercices</w:t>
      </w:r>
      <w:r w:rsidRPr="00467E18">
        <w:rPr>
          <w:rFonts w:ascii="Cambria" w:hAnsi="Cambria"/>
          <w:color w:val="000000" w:themeColor="text1"/>
        </w:rPr>
        <w:t> :</w:t>
      </w:r>
    </w:p>
    <w:tbl>
      <w:tblPr>
        <w:tblStyle w:val="Grilledutableau"/>
        <w:tblW w:w="10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7"/>
      </w:tblGrid>
      <w:tr w:rsidR="00A74FC3" w:rsidRPr="006C3CA6" w14:paraId="2D2EF63D" w14:textId="77777777" w:rsidTr="00A74FC3">
        <w:trPr>
          <w:trHeight w:val="489"/>
        </w:trPr>
        <w:tc>
          <w:tcPr>
            <w:tcW w:w="10717" w:type="dxa"/>
            <w:shd w:val="clear" w:color="auto" w:fill="FFFFFF" w:themeFill="background1"/>
          </w:tcPr>
          <w:p w14:paraId="0A2449C6" w14:textId="77777777" w:rsidR="00A74FC3" w:rsidRPr="00467E18" w:rsidRDefault="00A74FC3" w:rsidP="00A74FC3">
            <w:pPr>
              <w:pStyle w:val="Pardeliste"/>
              <w:numPr>
                <w:ilvl w:val="0"/>
                <w:numId w:val="1"/>
              </w:numPr>
              <w:tabs>
                <w:tab w:val="left" w:pos="954"/>
              </w:tabs>
              <w:spacing w:after="0" w:line="240" w:lineRule="auto"/>
              <w:rPr>
                <w:rFonts w:ascii="Cambria" w:hAnsi="Cambria" w:cstheme="minorHAnsi"/>
                <w:sz w:val="20"/>
                <w:szCs w:val="20"/>
              </w:rPr>
            </w:pPr>
            <w:r w:rsidRPr="00A74FC3">
              <w:rPr>
                <w:rFonts w:ascii="Cambria" w:hAnsi="Cambria" w:cstheme="minorHAnsi"/>
                <w:sz w:val="20"/>
                <w:szCs w:val="20"/>
              </w:rPr>
              <w:t>Savoir expliquer que l’exposition au risque dépend de la perception du risque qui diffère selon les individus, les milieux sociaux et les sociétés : probabilité de réalisation du risque et estimation des dommages.</w:t>
            </w:r>
          </w:p>
        </w:tc>
      </w:tr>
      <w:tr w:rsidR="00A74FC3" w:rsidRPr="006C3CA6" w14:paraId="65551C82" w14:textId="77777777" w:rsidTr="00A74FC3">
        <w:trPr>
          <w:trHeight w:val="257"/>
        </w:trPr>
        <w:tc>
          <w:tcPr>
            <w:tcW w:w="10717" w:type="dxa"/>
            <w:shd w:val="clear" w:color="auto" w:fill="FFFFFF" w:themeFill="background1"/>
          </w:tcPr>
          <w:p w14:paraId="7DA95CAC" w14:textId="77777777" w:rsidR="00A74FC3" w:rsidRPr="00467E18" w:rsidRDefault="00A74FC3" w:rsidP="00A74FC3">
            <w:pPr>
              <w:pStyle w:val="Pardeliste"/>
              <w:numPr>
                <w:ilvl w:val="0"/>
                <w:numId w:val="1"/>
              </w:numPr>
              <w:tabs>
                <w:tab w:val="left" w:pos="954"/>
              </w:tabs>
              <w:spacing w:after="0" w:line="240" w:lineRule="auto"/>
              <w:rPr>
                <w:rFonts w:ascii="Cambria" w:hAnsi="Cambria" w:cstheme="minorHAnsi"/>
                <w:sz w:val="20"/>
                <w:szCs w:val="20"/>
              </w:rPr>
            </w:pPr>
            <w:r w:rsidRPr="006C3CA6">
              <w:rPr>
                <w:rFonts w:ascii="Cambria" w:hAnsi="Cambria"/>
                <w:sz w:val="20"/>
                <w:szCs w:val="20"/>
              </w:rPr>
              <w:t>Être capable de donner un exemple (genre, âge, milieu social) illustrant l’aspect relatif de l’exposition au risque.</w:t>
            </w:r>
          </w:p>
        </w:tc>
      </w:tr>
      <w:tr w:rsidR="00A74FC3" w:rsidRPr="006C3CA6" w14:paraId="0C0DB94D" w14:textId="77777777" w:rsidTr="00A74FC3">
        <w:trPr>
          <w:trHeight w:val="465"/>
        </w:trPr>
        <w:tc>
          <w:tcPr>
            <w:tcW w:w="10717" w:type="dxa"/>
            <w:shd w:val="clear" w:color="auto" w:fill="FFFFFF" w:themeFill="background1"/>
          </w:tcPr>
          <w:p w14:paraId="0D3381F8" w14:textId="77777777" w:rsidR="00A74FC3" w:rsidRPr="00A74FC3" w:rsidRDefault="00A74FC3" w:rsidP="00FE6C7C">
            <w:pPr>
              <w:pStyle w:val="Pardeliste"/>
              <w:numPr>
                <w:ilvl w:val="0"/>
                <w:numId w:val="1"/>
              </w:numPr>
              <w:tabs>
                <w:tab w:val="left" w:pos="954"/>
              </w:tabs>
              <w:spacing w:after="0" w:line="240" w:lineRule="auto"/>
              <w:rPr>
                <w:rFonts w:ascii="Cambria" w:hAnsi="Cambria" w:cstheme="minorHAnsi"/>
                <w:sz w:val="20"/>
                <w:szCs w:val="20"/>
              </w:rPr>
            </w:pPr>
            <w:r w:rsidRPr="00A74FC3">
              <w:rPr>
                <w:rFonts w:ascii="Cambria" w:hAnsi="Cambria" w:cstheme="minorHAnsi"/>
                <w:sz w:val="20"/>
                <w:szCs w:val="20"/>
              </w:rPr>
              <w:t xml:space="preserve">Savoir </w:t>
            </w:r>
            <w:r w:rsidRPr="00A74FC3">
              <w:rPr>
                <w:rFonts w:ascii="Cambria" w:hAnsi="Cambria"/>
                <w:sz w:val="20"/>
                <w:szCs w:val="20"/>
              </w:rPr>
              <w:t>expliquer</w:t>
            </w:r>
            <w:r w:rsidRPr="00A74FC3">
              <w:rPr>
                <w:rFonts w:ascii="Cambria" w:hAnsi="Cambria" w:cstheme="minorHAnsi"/>
                <w:sz w:val="20"/>
                <w:szCs w:val="20"/>
              </w:rPr>
              <w:t xml:space="preserve"> que l’exposition au risque dépend de la + ou – grande aversion au risque qui diffère selon les individus, les milieux sociaux et les sociétés : conduites à risque / protection contre le risque ou ses dommages.</w:t>
            </w:r>
          </w:p>
        </w:tc>
      </w:tr>
      <w:tr w:rsidR="00A74FC3" w:rsidRPr="006C3CA6" w14:paraId="299ACB5E" w14:textId="77777777" w:rsidTr="00A74FC3">
        <w:trPr>
          <w:trHeight w:val="158"/>
        </w:trPr>
        <w:tc>
          <w:tcPr>
            <w:tcW w:w="10717" w:type="dxa"/>
            <w:shd w:val="clear" w:color="auto" w:fill="FFFFFF" w:themeFill="background1"/>
          </w:tcPr>
          <w:p w14:paraId="058A66EA" w14:textId="77777777" w:rsidR="00A74FC3" w:rsidRPr="00A74FC3" w:rsidRDefault="00A74FC3" w:rsidP="00A74FC3">
            <w:pPr>
              <w:pStyle w:val="Pardeliste"/>
              <w:numPr>
                <w:ilvl w:val="0"/>
                <w:numId w:val="1"/>
              </w:numPr>
              <w:tabs>
                <w:tab w:val="left" w:pos="954"/>
              </w:tabs>
              <w:spacing w:after="0" w:line="240" w:lineRule="auto"/>
              <w:rPr>
                <w:rFonts w:ascii="Cambria" w:hAnsi="Cambria" w:cstheme="minorHAnsi"/>
                <w:sz w:val="20"/>
                <w:szCs w:val="20"/>
              </w:rPr>
            </w:pPr>
            <w:r w:rsidRPr="006C3CA6">
              <w:rPr>
                <w:rFonts w:ascii="Cambria" w:hAnsi="Cambria"/>
                <w:sz w:val="20"/>
                <w:szCs w:val="20"/>
              </w:rPr>
              <w:t>Être capable de donner un exemple (genre, âge, milieu social, sociétés protégées) illustrant l’aspect relatif de l’attitude face au risque.</w:t>
            </w:r>
          </w:p>
        </w:tc>
      </w:tr>
    </w:tbl>
    <w:p w14:paraId="32789D01" w14:textId="77777777" w:rsidR="00A74FC3" w:rsidRDefault="00A74FC3"/>
    <w:p w14:paraId="582C109E" w14:textId="77777777" w:rsidR="00591001" w:rsidRDefault="00591001"/>
    <w:p w14:paraId="2D8674C3" w14:textId="77777777" w:rsidR="00591001" w:rsidRPr="00591001" w:rsidRDefault="00591001">
      <w:pPr>
        <w:rPr>
          <w:b/>
        </w:rPr>
      </w:pPr>
      <w:r w:rsidRPr="00591001">
        <w:rPr>
          <w:b/>
        </w:rPr>
        <w:t>Document 1</w:t>
      </w:r>
    </w:p>
    <w:p w14:paraId="1A3A1DE1" w14:textId="77777777" w:rsidR="00BE324B" w:rsidRDefault="00BE324B">
      <w:r>
        <w:rPr>
          <w:noProof/>
          <w:lang w:eastAsia="fr-FR"/>
        </w:rPr>
        <w:drawing>
          <wp:inline distT="0" distB="0" distL="0" distR="0" wp14:anchorId="08DF73F4" wp14:editId="7F700D5C">
            <wp:extent cx="6429148" cy="38864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174" t="22932" r="6459" b="18634"/>
                    <a:stretch/>
                  </pic:blipFill>
                  <pic:spPr bwMode="auto">
                    <a:xfrm>
                      <a:off x="0" y="0"/>
                      <a:ext cx="6477569" cy="3915770"/>
                    </a:xfrm>
                    <a:prstGeom prst="rect">
                      <a:avLst/>
                    </a:prstGeom>
                    <a:ln>
                      <a:noFill/>
                    </a:ln>
                    <a:extLst>
                      <a:ext uri="{53640926-AAD7-44D8-BBD7-CCE9431645EC}">
                        <a14:shadowObscured xmlns:a14="http://schemas.microsoft.com/office/drawing/2010/main"/>
                      </a:ext>
                    </a:extLst>
                  </pic:spPr>
                </pic:pic>
              </a:graphicData>
            </a:graphic>
          </wp:inline>
        </w:drawing>
      </w:r>
    </w:p>
    <w:p w14:paraId="42990DB1" w14:textId="77777777" w:rsidR="00BE324B" w:rsidRPr="005F5BFA" w:rsidRDefault="00BE324B" w:rsidP="00591001">
      <w:pPr>
        <w:pStyle w:val="Sansinterligne"/>
        <w:jc w:val="both"/>
        <w:rPr>
          <w:rFonts w:ascii="Cambria" w:hAnsi="Cambria"/>
          <w:b/>
          <w:color w:val="000000" w:themeColor="text1"/>
        </w:rPr>
      </w:pPr>
      <w:r w:rsidRPr="005F5BFA">
        <w:rPr>
          <w:rFonts w:ascii="Cambria" w:hAnsi="Cambria"/>
          <w:b/>
          <w:color w:val="000000" w:themeColor="text1"/>
        </w:rPr>
        <w:t>Trai</w:t>
      </w:r>
      <w:r w:rsidR="00591001" w:rsidRPr="005F5BFA">
        <w:rPr>
          <w:rFonts w:ascii="Cambria" w:hAnsi="Cambria"/>
          <w:b/>
          <w:color w:val="000000" w:themeColor="text1"/>
        </w:rPr>
        <w:t>ter les 3 questions du document.</w:t>
      </w:r>
    </w:p>
    <w:p w14:paraId="04AF07AF" w14:textId="77777777" w:rsidR="00591001" w:rsidRDefault="00591001" w:rsidP="00591001">
      <w:pPr>
        <w:pStyle w:val="Sansinterligne"/>
        <w:jc w:val="both"/>
        <w:rPr>
          <w:rFonts w:ascii="Cambria" w:hAnsi="Cambria"/>
          <w:color w:val="000000" w:themeColor="text1"/>
        </w:rPr>
      </w:pPr>
      <w:r>
        <w:rPr>
          <w:rFonts w:ascii="Cambria" w:hAnsi="Cambria"/>
          <w:color w:val="000000" w:themeColor="text1"/>
        </w:rPr>
        <w:t>La première question est « personnelle » (il n’y a pas de réponse « juste » ou fausse ») ; que feriez-vous si un tel cas de figure se présentait à vous ?</w:t>
      </w:r>
    </w:p>
    <w:p w14:paraId="49C689E2" w14:textId="77777777" w:rsidR="00047C24" w:rsidRDefault="00047C24">
      <w:pPr>
        <w:spacing w:after="0" w:line="240" w:lineRule="auto"/>
        <w:rPr>
          <w:rFonts w:ascii="Cambria" w:hAnsi="Cambria"/>
          <w:color w:val="000000" w:themeColor="text1"/>
        </w:rPr>
      </w:pPr>
      <w:r>
        <w:rPr>
          <w:rFonts w:ascii="Cambria" w:hAnsi="Cambria"/>
          <w:color w:val="000000" w:themeColor="text1"/>
        </w:rPr>
        <w:br w:type="page"/>
      </w:r>
    </w:p>
    <w:p w14:paraId="60A47D9D" w14:textId="77777777" w:rsidR="00591001" w:rsidRPr="00591001" w:rsidRDefault="00591001" w:rsidP="00591001">
      <w:pPr>
        <w:rPr>
          <w:b/>
        </w:rPr>
      </w:pPr>
      <w:r w:rsidRPr="00591001">
        <w:rPr>
          <w:b/>
        </w:rPr>
        <w:lastRenderedPageBreak/>
        <w:t>Document 2</w:t>
      </w:r>
    </w:p>
    <w:p w14:paraId="2173DA10" w14:textId="77777777" w:rsidR="00BE324B" w:rsidRPr="00591001" w:rsidRDefault="00591001" w:rsidP="00591001">
      <w:pPr>
        <w:pStyle w:val="Sansinterligne"/>
        <w:jc w:val="both"/>
        <w:rPr>
          <w:rFonts w:ascii="Cambria" w:hAnsi="Cambria"/>
          <w:color w:val="000000" w:themeColor="text1"/>
        </w:rPr>
      </w:pPr>
      <w:r>
        <w:rPr>
          <w:rFonts w:ascii="Cambria" w:hAnsi="Cambria"/>
          <w:color w:val="000000" w:themeColor="text1"/>
        </w:rPr>
        <w:t xml:space="preserve"> </w:t>
      </w:r>
    </w:p>
    <w:p w14:paraId="74814C1C" w14:textId="77777777" w:rsidR="00A74FC3" w:rsidRPr="00D97F06" w:rsidRDefault="00D97F06" w:rsidP="00D97F06">
      <w:pPr>
        <w:spacing w:after="240" w:line="264" w:lineRule="atLeast"/>
        <w:jc w:val="center"/>
        <w:outlineLvl w:val="1"/>
        <w:rPr>
          <w:rFonts w:ascii="Helvetica Neue" w:eastAsia="Times New Roman" w:hAnsi="Helvetica Neue" w:cs="Times New Roman"/>
          <w:sz w:val="29"/>
          <w:szCs w:val="29"/>
          <w:lang w:eastAsia="fr-FR"/>
        </w:rPr>
      </w:pPr>
      <w:r w:rsidRPr="00D97F06">
        <w:rPr>
          <w:rFonts w:ascii="Helvetica Neue" w:eastAsia="Times New Roman" w:hAnsi="Helvetica Neue" w:cs="Times New Roman"/>
          <w:b/>
          <w:bCs/>
          <w:sz w:val="29"/>
          <w:szCs w:val="29"/>
          <w:lang w:eastAsia="fr-FR"/>
        </w:rPr>
        <w:t>Consommation d'alcool selon l'âge</w:t>
      </w:r>
    </w:p>
    <w:p w14:paraId="1F51C622" w14:textId="77777777" w:rsidR="00D97F06" w:rsidRDefault="00D97F06">
      <w:r w:rsidRPr="00D97F06">
        <w:drawing>
          <wp:inline distT="0" distB="0" distL="0" distR="0" wp14:anchorId="08BD8BB2" wp14:editId="6AA4D625">
            <wp:extent cx="6642100" cy="4272915"/>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2100" cy="4272915"/>
                    </a:xfrm>
                    <a:prstGeom prst="rect">
                      <a:avLst/>
                    </a:prstGeom>
                  </pic:spPr>
                </pic:pic>
              </a:graphicData>
            </a:graphic>
          </wp:inline>
        </w:drawing>
      </w:r>
    </w:p>
    <w:p w14:paraId="1F2AD8DA" w14:textId="77777777" w:rsidR="00D97F06" w:rsidRPr="00D97F06" w:rsidRDefault="00D97F06" w:rsidP="00D97F06">
      <w:pPr>
        <w:pStyle w:val="Sansinterligne"/>
        <w:jc w:val="both"/>
        <w:rPr>
          <w:rFonts w:ascii="Cambria" w:hAnsi="Cambria"/>
          <w:color w:val="000000" w:themeColor="text1"/>
        </w:rPr>
      </w:pPr>
      <w:r w:rsidRPr="00D97F06">
        <w:rPr>
          <w:rFonts w:ascii="Cambria" w:hAnsi="Cambria"/>
          <w:color w:val="000000" w:themeColor="text1"/>
        </w:rPr>
        <w:t>Consommation à risque ponctuel et à risque chronique ou de dépendance, selon l’âge en 2010 (en %).</w:t>
      </w:r>
    </w:p>
    <w:p w14:paraId="49CDD625" w14:textId="77777777" w:rsidR="00D97F06" w:rsidRDefault="00D97F06" w:rsidP="00D97F06">
      <w:pPr>
        <w:pStyle w:val="Sansinterligne"/>
        <w:jc w:val="right"/>
        <w:rPr>
          <w:rFonts w:ascii="Cambria" w:hAnsi="Cambria"/>
          <w:color w:val="000000" w:themeColor="text1"/>
        </w:rPr>
      </w:pPr>
      <w:r w:rsidRPr="00D97F06">
        <w:rPr>
          <w:rFonts w:ascii="Cambria" w:hAnsi="Cambria"/>
          <w:color w:val="000000" w:themeColor="text1"/>
        </w:rPr>
        <w:t xml:space="preserve">Source : </w:t>
      </w:r>
      <w:r>
        <w:rPr>
          <w:rFonts w:ascii="Cambria" w:hAnsi="Cambria"/>
          <w:color w:val="000000" w:themeColor="text1"/>
        </w:rPr>
        <w:t>Baromètre Santé 2010, INPES</w:t>
      </w:r>
    </w:p>
    <w:p w14:paraId="789D370F" w14:textId="77777777" w:rsidR="00D97F06" w:rsidRDefault="00D97F06" w:rsidP="00D97F06">
      <w:pPr>
        <w:pStyle w:val="Sansinterligne"/>
        <w:jc w:val="right"/>
        <w:rPr>
          <w:rFonts w:ascii="Cambria" w:hAnsi="Cambria"/>
          <w:color w:val="000000" w:themeColor="text1"/>
        </w:rPr>
      </w:pPr>
    </w:p>
    <w:p w14:paraId="425630B0" w14:textId="77777777" w:rsidR="00D97F06" w:rsidRDefault="00D97F06" w:rsidP="00D97F06">
      <w:pPr>
        <w:pStyle w:val="Sansinterligne"/>
        <w:jc w:val="both"/>
        <w:rPr>
          <w:rFonts w:ascii="Cambria" w:hAnsi="Cambria"/>
          <w:color w:val="000000" w:themeColor="text1"/>
        </w:rPr>
      </w:pPr>
      <w:r w:rsidRPr="00D97F06">
        <w:rPr>
          <w:rFonts w:ascii="Cambria" w:hAnsi="Cambria"/>
          <w:b/>
          <w:color w:val="000000" w:themeColor="text1"/>
        </w:rPr>
        <w:t>Q1.</w:t>
      </w:r>
      <w:r>
        <w:rPr>
          <w:rFonts w:ascii="Cambria" w:hAnsi="Cambria"/>
          <w:color w:val="000000" w:themeColor="text1"/>
        </w:rPr>
        <w:t xml:space="preserve"> </w:t>
      </w:r>
      <w:r w:rsidRPr="00D97F06">
        <w:rPr>
          <w:rFonts w:ascii="Cambria" w:hAnsi="Cambria"/>
          <w:color w:val="000000" w:themeColor="text1"/>
        </w:rPr>
        <w:t>Comparez les deux données entourées.</w:t>
      </w:r>
    </w:p>
    <w:p w14:paraId="7F969BB0" w14:textId="77777777" w:rsidR="00D97F06" w:rsidRDefault="00D97F06" w:rsidP="00D97F06">
      <w:pPr>
        <w:pStyle w:val="Sansinterligne"/>
        <w:jc w:val="both"/>
        <w:rPr>
          <w:rFonts w:ascii="Cambria" w:hAnsi="Cambria"/>
          <w:color w:val="000000" w:themeColor="text1"/>
        </w:rPr>
      </w:pPr>
      <w:r w:rsidRPr="00D97F06">
        <w:rPr>
          <w:rFonts w:ascii="Cambria" w:hAnsi="Cambria"/>
          <w:b/>
          <w:color w:val="000000" w:themeColor="text1"/>
        </w:rPr>
        <w:t>Q2</w:t>
      </w:r>
      <w:r>
        <w:rPr>
          <w:rFonts w:ascii="Cambria" w:hAnsi="Cambria"/>
          <w:color w:val="000000" w:themeColor="text1"/>
        </w:rPr>
        <w:t xml:space="preserve">. </w:t>
      </w:r>
      <w:r w:rsidRPr="00D97F06">
        <w:rPr>
          <w:rFonts w:ascii="Cambria" w:hAnsi="Cambria"/>
          <w:color w:val="000000" w:themeColor="text1"/>
        </w:rPr>
        <w:t xml:space="preserve">Montrez que l’exposition à la consommation d’alcool n’est pas </w:t>
      </w:r>
      <w:proofErr w:type="gramStart"/>
      <w:r w:rsidRPr="00D97F06">
        <w:rPr>
          <w:rFonts w:ascii="Cambria" w:hAnsi="Cambria"/>
          <w:color w:val="000000" w:themeColor="text1"/>
        </w:rPr>
        <w:t>la</w:t>
      </w:r>
      <w:proofErr w:type="gramEnd"/>
      <w:r w:rsidRPr="00D97F06">
        <w:rPr>
          <w:rFonts w:ascii="Cambria" w:hAnsi="Cambria"/>
          <w:color w:val="000000" w:themeColor="text1"/>
        </w:rPr>
        <w:t xml:space="preserve"> même selon l’âge.</w:t>
      </w:r>
    </w:p>
    <w:p w14:paraId="4FDFA147" w14:textId="77777777" w:rsidR="001E5985" w:rsidRDefault="00D97F06" w:rsidP="00D97F06">
      <w:pPr>
        <w:pStyle w:val="Sansinterligne"/>
        <w:jc w:val="both"/>
        <w:rPr>
          <w:rFonts w:ascii="Cambria" w:hAnsi="Cambria"/>
          <w:color w:val="000000" w:themeColor="text1"/>
        </w:rPr>
      </w:pPr>
      <w:r w:rsidRPr="00D97F06">
        <w:rPr>
          <w:rFonts w:ascii="Cambria" w:hAnsi="Cambria"/>
          <w:b/>
          <w:color w:val="000000" w:themeColor="text1"/>
        </w:rPr>
        <w:t>Q3.</w:t>
      </w:r>
      <w:r>
        <w:rPr>
          <w:rFonts w:ascii="Cambria" w:hAnsi="Cambria"/>
          <w:color w:val="000000" w:themeColor="text1"/>
        </w:rPr>
        <w:t xml:space="preserve"> </w:t>
      </w:r>
      <w:r w:rsidRPr="00D97F06">
        <w:rPr>
          <w:rFonts w:ascii="Cambria" w:hAnsi="Cambria"/>
          <w:color w:val="000000" w:themeColor="text1"/>
        </w:rPr>
        <w:t>Quelle corrélation semble</w:t>
      </w:r>
      <w:r w:rsidRPr="00D97F06">
        <w:rPr>
          <w:rFonts w:ascii="Cambria" w:hAnsi="Cambria"/>
          <w:color w:val="000000" w:themeColor="text1"/>
        </w:rPr>
        <w:noBreakHyphen/>
        <w:t>t</w:t>
      </w:r>
      <w:r w:rsidRPr="00D97F06">
        <w:rPr>
          <w:rFonts w:ascii="Cambria" w:hAnsi="Cambria"/>
          <w:color w:val="000000" w:themeColor="text1"/>
        </w:rPr>
        <w:noBreakHyphen/>
        <w:t>on observer entre l’avancée en âge et la perception du risque lié à l’alcool ? </w:t>
      </w:r>
    </w:p>
    <w:p w14:paraId="513B01D3" w14:textId="77777777" w:rsidR="001E5985" w:rsidRDefault="001E5985" w:rsidP="00D97F06">
      <w:pPr>
        <w:pStyle w:val="Sansinterligne"/>
        <w:jc w:val="both"/>
        <w:rPr>
          <w:rFonts w:ascii="Cambria" w:hAnsi="Cambria"/>
          <w:color w:val="000000" w:themeColor="text1"/>
        </w:rPr>
      </w:pPr>
    </w:p>
    <w:p w14:paraId="5FC1DE1B" w14:textId="77777777" w:rsidR="001E5985" w:rsidRDefault="001E5985" w:rsidP="00D97F06">
      <w:pPr>
        <w:pStyle w:val="Sansinterligne"/>
        <w:jc w:val="both"/>
        <w:rPr>
          <w:rFonts w:ascii="Cambria" w:hAnsi="Cambria"/>
          <w:color w:val="000000" w:themeColor="text1"/>
        </w:rPr>
      </w:pPr>
    </w:p>
    <w:p w14:paraId="2B72A593" w14:textId="77777777" w:rsidR="001E5985" w:rsidRDefault="001E5985" w:rsidP="00D97F06">
      <w:pPr>
        <w:pStyle w:val="Sansinterligne"/>
        <w:jc w:val="both"/>
        <w:rPr>
          <w:rFonts w:ascii="Cambria" w:hAnsi="Cambria"/>
          <w:color w:val="000000" w:themeColor="text1"/>
        </w:rPr>
      </w:pPr>
      <w:r>
        <w:rPr>
          <w:rFonts w:ascii="Cambria" w:hAnsi="Cambria"/>
          <w:color w:val="000000" w:themeColor="text1"/>
        </w:rPr>
        <w:t>Document 3 :</w:t>
      </w:r>
    </w:p>
    <w:p w14:paraId="6846C43A" w14:textId="77777777" w:rsidR="001E5985" w:rsidRDefault="001E5985" w:rsidP="00D97F06">
      <w:pPr>
        <w:pStyle w:val="Sansinterligne"/>
        <w:jc w:val="both"/>
        <w:rPr>
          <w:rFonts w:ascii="Cambria" w:hAnsi="Cambria"/>
          <w:color w:val="000000" w:themeColor="text1"/>
        </w:rPr>
      </w:pPr>
    </w:p>
    <w:p w14:paraId="7DE2DE60" w14:textId="77777777" w:rsidR="001E5985" w:rsidRDefault="001E5985" w:rsidP="001E5985">
      <w:pPr>
        <w:spacing w:after="0" w:line="240" w:lineRule="auto"/>
        <w:jc w:val="both"/>
        <w:rPr>
          <w:rFonts w:ascii="Arial" w:eastAsia="Times New Roman" w:hAnsi="Arial" w:cs="Arial"/>
          <w:sz w:val="23"/>
          <w:szCs w:val="23"/>
          <w:shd w:val="clear" w:color="auto" w:fill="FBE3BA"/>
          <w:lang w:eastAsia="fr-FR"/>
        </w:rPr>
      </w:pPr>
      <w:r w:rsidRPr="001E5985">
        <w:rPr>
          <w:rFonts w:ascii="Arial" w:eastAsia="Times New Roman" w:hAnsi="Arial" w:cs="Arial"/>
          <w:sz w:val="23"/>
          <w:szCs w:val="23"/>
          <w:shd w:val="clear" w:color="auto" w:fill="FBE3BA"/>
          <w:lang w:eastAsia="fr-FR"/>
        </w:rPr>
        <w:t>De façon générale, les données […] pointent que les individus de sexe masculin, quel que soit leur âge, sont significativement plus impliqués dans une large variété d’activités risquées et physiquement dangereuses. […] </w:t>
      </w:r>
      <w:r w:rsidRPr="001E5985">
        <w:rPr>
          <w:rFonts w:ascii="Arial" w:eastAsia="Times New Roman" w:hAnsi="Arial" w:cs="Arial"/>
          <w:sz w:val="23"/>
          <w:szCs w:val="23"/>
          <w:lang w:eastAsia="fr-FR"/>
        </w:rPr>
        <w:br/>
      </w:r>
      <w:r w:rsidRPr="001E5985">
        <w:rPr>
          <w:rFonts w:ascii="Arial" w:eastAsia="Times New Roman" w:hAnsi="Arial" w:cs="Arial"/>
          <w:sz w:val="23"/>
          <w:szCs w:val="23"/>
          <w:shd w:val="clear" w:color="auto" w:fill="FBE3BA"/>
          <w:lang w:eastAsia="fr-FR"/>
        </w:rPr>
        <w:t> </w:t>
      </w:r>
      <w:r w:rsidRPr="001E5985">
        <w:rPr>
          <w:rFonts w:ascii="Arial" w:eastAsia="Times New Roman" w:hAnsi="Arial" w:cs="Arial"/>
          <w:sz w:val="23"/>
          <w:szCs w:val="23"/>
          <w:shd w:val="clear" w:color="auto" w:fill="FBE3BA"/>
          <w:lang w:eastAsia="fr-FR"/>
        </w:rPr>
        <w:t> </w:t>
      </w:r>
      <w:r w:rsidRPr="001E5985">
        <w:rPr>
          <w:rFonts w:ascii="Arial" w:eastAsia="Times New Roman" w:hAnsi="Arial" w:cs="Arial"/>
          <w:sz w:val="23"/>
          <w:szCs w:val="23"/>
          <w:shd w:val="clear" w:color="auto" w:fill="FBE3BA"/>
          <w:lang w:eastAsia="fr-FR"/>
        </w:rPr>
        <w:t>La prise en compte des effets de la conformité aux stéréotypes de sexe pour expliquer les différences entre hommes et femmes dans le domaine de la santé et du risque est très récente. Les recherches ont par exemple étudié l’effet de la conformité aux stéréotypes masculins dominants […] sur les comportements de santé des hommes […], ainsi que les effets de la masculinité sur la prise de risque dans le sport […], dans la conduite automobile […] et dans la prise de risque en général […]. Dans tous les cas étudiés, les recherches montrent que la conformité aux stéréotypes masculins – quel que soit le sexe biologique de l’individu – amène des comportements à risque accidentel plus fréquents que la conformité aux stéréotypes féminins.</w:t>
      </w:r>
    </w:p>
    <w:p w14:paraId="037A0C01" w14:textId="77777777" w:rsidR="001E5985" w:rsidRPr="001E5985" w:rsidRDefault="001E5985" w:rsidP="001E5985">
      <w:pPr>
        <w:spacing w:after="0" w:line="240" w:lineRule="auto"/>
        <w:jc w:val="both"/>
        <w:rPr>
          <w:rFonts w:ascii="Arial" w:eastAsia="Times New Roman" w:hAnsi="Arial" w:cs="Arial"/>
          <w:sz w:val="23"/>
          <w:szCs w:val="23"/>
          <w:shd w:val="clear" w:color="auto" w:fill="FBE3BA"/>
          <w:lang w:eastAsia="fr-FR"/>
        </w:rPr>
      </w:pPr>
      <w:r w:rsidRPr="001E5985">
        <w:rPr>
          <w:rFonts w:ascii="Arial" w:eastAsia="Times New Roman" w:hAnsi="Arial" w:cs="Arial"/>
          <w:sz w:val="23"/>
          <w:szCs w:val="23"/>
          <w:shd w:val="clear" w:color="auto" w:fill="FBE3BA"/>
          <w:lang w:eastAsia="fr-FR"/>
        </w:rPr>
        <w:t> </w:t>
      </w:r>
      <w:r w:rsidRPr="001E5985">
        <w:rPr>
          <w:rFonts w:ascii="Arial" w:eastAsia="Times New Roman" w:hAnsi="Arial" w:cs="Arial"/>
          <w:sz w:val="23"/>
          <w:szCs w:val="23"/>
          <w:shd w:val="clear" w:color="auto" w:fill="FBE3BA"/>
          <w:lang w:eastAsia="fr-FR"/>
        </w:rPr>
        <w:t> </w:t>
      </w:r>
      <w:r w:rsidRPr="001E5985">
        <w:rPr>
          <w:rFonts w:ascii="Arial" w:eastAsia="Times New Roman" w:hAnsi="Arial" w:cs="Arial"/>
          <w:sz w:val="23"/>
          <w:szCs w:val="23"/>
          <w:shd w:val="clear" w:color="auto" w:fill="FBE3BA"/>
          <w:lang w:eastAsia="fr-FR"/>
        </w:rPr>
        <w:t>Cet effet des stéréotypes de sexe sur la prise de risque s’observe dès l’enfance préscolaire. </w:t>
      </w:r>
      <w:r w:rsidRPr="001E5985">
        <w:rPr>
          <w:rFonts w:ascii="Arial" w:eastAsia="Times New Roman" w:hAnsi="Arial" w:cs="Arial"/>
          <w:sz w:val="23"/>
          <w:szCs w:val="23"/>
          <w:lang w:eastAsia="fr-FR"/>
        </w:rPr>
        <w:br/>
      </w:r>
    </w:p>
    <w:p w14:paraId="7C2B310A" w14:textId="77777777" w:rsidR="001E5985" w:rsidRPr="001E5985" w:rsidRDefault="001E5985" w:rsidP="001E5985">
      <w:pPr>
        <w:spacing w:after="0" w:line="240" w:lineRule="auto"/>
        <w:jc w:val="right"/>
        <w:rPr>
          <w:rFonts w:ascii="Arial" w:eastAsia="Times New Roman" w:hAnsi="Arial" w:cs="Arial"/>
          <w:sz w:val="23"/>
          <w:szCs w:val="23"/>
          <w:lang w:eastAsia="fr-FR"/>
        </w:rPr>
      </w:pPr>
      <w:r w:rsidRPr="001E5985">
        <w:rPr>
          <w:rFonts w:ascii="Arial" w:eastAsia="Times New Roman" w:hAnsi="Arial" w:cs="Arial"/>
          <w:sz w:val="23"/>
          <w:szCs w:val="23"/>
          <w:lang w:eastAsia="fr-FR"/>
        </w:rPr>
        <w:t xml:space="preserve">Marie-Axelle </w:t>
      </w:r>
      <w:proofErr w:type="spellStart"/>
      <w:r w:rsidRPr="001E5985">
        <w:rPr>
          <w:rFonts w:ascii="Arial" w:eastAsia="Times New Roman" w:hAnsi="Arial" w:cs="Arial"/>
          <w:sz w:val="23"/>
          <w:szCs w:val="23"/>
          <w:lang w:eastAsia="fr-FR"/>
        </w:rPr>
        <w:t>Granie</w:t>
      </w:r>
      <w:proofErr w:type="spellEnd"/>
      <w:r w:rsidRPr="001E5985">
        <w:rPr>
          <w:rFonts w:ascii="Arial" w:eastAsia="Times New Roman" w:hAnsi="Arial" w:cs="Arial"/>
          <w:sz w:val="23"/>
          <w:szCs w:val="23"/>
          <w:lang w:eastAsia="fr-FR"/>
        </w:rPr>
        <w:t>, « Genre et rapport au risque : de la compréhension au levier pour l’action », </w:t>
      </w:r>
      <w:r w:rsidRPr="001E5985">
        <w:rPr>
          <w:rFonts w:ascii="Arial" w:eastAsia="Times New Roman" w:hAnsi="Arial" w:cs="Arial"/>
          <w:i/>
          <w:iCs/>
          <w:sz w:val="23"/>
          <w:szCs w:val="23"/>
          <w:lang w:eastAsia="fr-FR"/>
        </w:rPr>
        <w:t>Questions vives</w:t>
      </w:r>
      <w:r w:rsidRPr="001E5985">
        <w:rPr>
          <w:rFonts w:ascii="Arial" w:eastAsia="Times New Roman" w:hAnsi="Arial" w:cs="Arial"/>
          <w:sz w:val="23"/>
          <w:szCs w:val="23"/>
          <w:lang w:eastAsia="fr-FR"/>
        </w:rPr>
        <w:t>, octobre 2013.</w:t>
      </w:r>
    </w:p>
    <w:p w14:paraId="2005530E" w14:textId="77777777" w:rsidR="001E5985" w:rsidRDefault="001E5985" w:rsidP="00D97F06">
      <w:pPr>
        <w:pStyle w:val="Sansinterligne"/>
        <w:jc w:val="both"/>
        <w:rPr>
          <w:rFonts w:ascii="Cambria" w:hAnsi="Cambria"/>
          <w:color w:val="000000" w:themeColor="text1"/>
        </w:rPr>
      </w:pPr>
    </w:p>
    <w:p w14:paraId="075014D5" w14:textId="77777777" w:rsidR="001E5985" w:rsidRDefault="001E5985" w:rsidP="00D97F06">
      <w:pPr>
        <w:pStyle w:val="Sansinterligne"/>
        <w:jc w:val="both"/>
        <w:rPr>
          <w:rFonts w:ascii="Cambria" w:hAnsi="Cambria"/>
          <w:color w:val="000000" w:themeColor="text1"/>
        </w:rPr>
      </w:pPr>
    </w:p>
    <w:p w14:paraId="263BF391" w14:textId="77777777" w:rsidR="001E5985" w:rsidRDefault="001E5985" w:rsidP="00D97F06">
      <w:pPr>
        <w:pStyle w:val="Sansinterligne"/>
        <w:jc w:val="both"/>
        <w:rPr>
          <w:rFonts w:ascii="Cambria" w:hAnsi="Cambria"/>
          <w:color w:val="000000" w:themeColor="text1"/>
        </w:rPr>
      </w:pPr>
      <w:r>
        <w:rPr>
          <w:rFonts w:ascii="Cambria" w:hAnsi="Cambria"/>
          <w:color w:val="000000" w:themeColor="text1"/>
        </w:rPr>
        <w:t>+ Vidéo</w:t>
      </w:r>
      <w:r w:rsidR="0058481F">
        <w:rPr>
          <w:rFonts w:ascii="Cambria" w:hAnsi="Cambria"/>
          <w:color w:val="000000" w:themeColor="text1"/>
        </w:rPr>
        <w:t xml:space="preserve"> à regarder</w:t>
      </w:r>
      <w:r>
        <w:rPr>
          <w:rFonts w:ascii="Cambria" w:hAnsi="Cambria"/>
          <w:color w:val="000000" w:themeColor="text1"/>
        </w:rPr>
        <w:t xml:space="preserve"> : </w:t>
      </w:r>
      <w:hyperlink r:id="rId7" w:history="1">
        <w:r w:rsidR="0058481F" w:rsidRPr="009F1900">
          <w:rPr>
            <w:rStyle w:val="Lienhypertexte"/>
            <w:rFonts w:ascii="Cambria" w:hAnsi="Cambria"/>
          </w:rPr>
          <w:t>https://www.yapaka.be/video/video-conduites-a-risque-a-ladolescence-question-de-genre</w:t>
        </w:r>
      </w:hyperlink>
    </w:p>
    <w:p w14:paraId="64FBC064" w14:textId="77777777" w:rsidR="0058481F" w:rsidRDefault="0058481F" w:rsidP="00D97F06">
      <w:pPr>
        <w:pStyle w:val="Sansinterligne"/>
        <w:jc w:val="both"/>
        <w:rPr>
          <w:rFonts w:ascii="Cambria" w:hAnsi="Cambria"/>
          <w:color w:val="000000" w:themeColor="text1"/>
        </w:rPr>
      </w:pPr>
    </w:p>
    <w:p w14:paraId="29109771" w14:textId="77777777" w:rsidR="0058481F" w:rsidRDefault="006F705E" w:rsidP="00D97F06">
      <w:pPr>
        <w:pStyle w:val="Sansinterligne"/>
        <w:jc w:val="both"/>
        <w:rPr>
          <w:rFonts w:ascii="Cambria" w:hAnsi="Cambria"/>
          <w:color w:val="000000" w:themeColor="text1"/>
        </w:rPr>
      </w:pPr>
      <w:r w:rsidRPr="00522C8F">
        <w:rPr>
          <w:rFonts w:ascii="Cambria" w:hAnsi="Cambria"/>
          <w:b/>
          <w:color w:val="000000" w:themeColor="text1"/>
        </w:rPr>
        <w:t>Q1</w:t>
      </w:r>
      <w:r>
        <w:rPr>
          <w:rFonts w:ascii="Cambria" w:hAnsi="Cambria"/>
          <w:color w:val="000000" w:themeColor="text1"/>
        </w:rPr>
        <w:t>. Rappel : qu’est-ce qu’un stéréotype de genre ?</w:t>
      </w:r>
    </w:p>
    <w:p w14:paraId="7C8E9F17" w14:textId="77777777" w:rsidR="006F705E" w:rsidRDefault="006F705E" w:rsidP="006F705E">
      <w:pPr>
        <w:spacing w:after="0" w:line="240" w:lineRule="auto"/>
        <w:rPr>
          <w:rFonts w:ascii="Cambria" w:hAnsi="Cambria"/>
          <w:color w:val="000000" w:themeColor="text1"/>
        </w:rPr>
      </w:pPr>
      <w:r w:rsidRPr="00522C8F">
        <w:rPr>
          <w:rFonts w:ascii="Cambria" w:hAnsi="Cambria"/>
          <w:b/>
          <w:color w:val="000000" w:themeColor="text1"/>
        </w:rPr>
        <w:t>Q2</w:t>
      </w:r>
      <w:r>
        <w:rPr>
          <w:rFonts w:ascii="Cambria" w:hAnsi="Cambria"/>
          <w:color w:val="000000" w:themeColor="text1"/>
        </w:rPr>
        <w:t xml:space="preserve">. </w:t>
      </w:r>
      <w:r w:rsidRPr="006F705E">
        <w:rPr>
          <w:rFonts w:ascii="Cambria" w:hAnsi="Cambria"/>
          <w:color w:val="000000" w:themeColor="text1"/>
        </w:rPr>
        <w:t>Quels sont les effets de ces stéréotypes sur la prise de risque des individus </w:t>
      </w:r>
      <w:r>
        <w:rPr>
          <w:rFonts w:ascii="Cambria" w:hAnsi="Cambria"/>
          <w:color w:val="000000" w:themeColor="text1"/>
        </w:rPr>
        <w:t xml:space="preserve">(texte + vidéo) </w:t>
      </w:r>
      <w:r w:rsidRPr="006F705E">
        <w:rPr>
          <w:rFonts w:ascii="Cambria" w:hAnsi="Cambria"/>
          <w:color w:val="000000" w:themeColor="text1"/>
        </w:rPr>
        <w:t>?</w:t>
      </w:r>
    </w:p>
    <w:p w14:paraId="1A54160A" w14:textId="77777777" w:rsidR="006F705E" w:rsidRDefault="006F705E" w:rsidP="00D97F06">
      <w:pPr>
        <w:pStyle w:val="Sansinterligne"/>
        <w:jc w:val="both"/>
        <w:rPr>
          <w:rFonts w:ascii="Cambria" w:hAnsi="Cambria"/>
          <w:color w:val="000000" w:themeColor="text1"/>
        </w:rPr>
      </w:pPr>
      <w:bookmarkStart w:id="0" w:name="_GoBack"/>
      <w:bookmarkEnd w:id="0"/>
    </w:p>
    <w:p w14:paraId="26DE41D2" w14:textId="77777777" w:rsidR="009A34DE" w:rsidRDefault="009A34DE" w:rsidP="00D97F06">
      <w:pPr>
        <w:pStyle w:val="Sansinterligne"/>
        <w:jc w:val="both"/>
        <w:rPr>
          <w:rFonts w:ascii="Cambria" w:hAnsi="Cambria"/>
          <w:color w:val="000000" w:themeColor="text1"/>
        </w:rPr>
      </w:pPr>
    </w:p>
    <w:p w14:paraId="378FD401" w14:textId="77777777" w:rsidR="009A34DE" w:rsidRPr="00047C24" w:rsidRDefault="009A34DE" w:rsidP="00047C24">
      <w:pPr>
        <w:pStyle w:val="Sansinterligne"/>
        <w:jc w:val="center"/>
        <w:rPr>
          <w:rFonts w:ascii="Cambria" w:hAnsi="Cambria"/>
          <w:b/>
          <w:color w:val="000000" w:themeColor="text1"/>
        </w:rPr>
      </w:pPr>
      <w:r w:rsidRPr="00047C24">
        <w:rPr>
          <w:rFonts w:ascii="Cambria" w:hAnsi="Cambria"/>
          <w:b/>
          <w:color w:val="000000" w:themeColor="text1"/>
        </w:rPr>
        <w:t>Question de synthèse :</w:t>
      </w:r>
    </w:p>
    <w:p w14:paraId="23C5057A" w14:textId="77777777" w:rsidR="009A34DE" w:rsidRDefault="009A34DE" w:rsidP="00D97F06">
      <w:pPr>
        <w:pStyle w:val="Sansinterligne"/>
        <w:jc w:val="both"/>
        <w:rPr>
          <w:rFonts w:ascii="Cambria" w:hAnsi="Cambria"/>
          <w:b/>
          <w:color w:val="000000" w:themeColor="text1"/>
        </w:rPr>
      </w:pPr>
      <w:r w:rsidRPr="00047C24">
        <w:rPr>
          <w:rFonts w:ascii="Cambria" w:hAnsi="Cambria"/>
          <w:b/>
          <w:color w:val="000000" w:themeColor="text1"/>
        </w:rPr>
        <w:t>A l’aide d</w:t>
      </w:r>
      <w:r w:rsidR="00047C24" w:rsidRPr="00047C24">
        <w:rPr>
          <w:rFonts w:ascii="Cambria" w:hAnsi="Cambria"/>
          <w:b/>
          <w:color w:val="000000" w:themeColor="text1"/>
        </w:rPr>
        <w:t>es documents 1 &amp; 2 rédigez une réponse argumentée</w:t>
      </w:r>
      <w:r w:rsidRPr="00047C24">
        <w:rPr>
          <w:rFonts w:ascii="Cambria" w:hAnsi="Cambria"/>
          <w:b/>
          <w:color w:val="000000" w:themeColor="text1"/>
        </w:rPr>
        <w:t xml:space="preserve"> </w:t>
      </w:r>
      <w:r w:rsidR="00047C24" w:rsidRPr="00047C24">
        <w:rPr>
          <w:rFonts w:ascii="Cambria" w:hAnsi="Cambria"/>
          <w:b/>
          <w:color w:val="000000" w:themeColor="text1"/>
        </w:rPr>
        <w:t xml:space="preserve">à la question suivante </w:t>
      </w:r>
      <w:r w:rsidRPr="00047C24">
        <w:rPr>
          <w:rFonts w:ascii="Cambria" w:hAnsi="Cambria"/>
          <w:b/>
          <w:color w:val="000000" w:themeColor="text1"/>
        </w:rPr>
        <w:t xml:space="preserve">: Pour quelle(s) raison(s) les assurances </w:t>
      </w:r>
      <w:r w:rsidR="00047C24" w:rsidRPr="00047C24">
        <w:rPr>
          <w:rFonts w:ascii="Cambria" w:hAnsi="Cambria"/>
          <w:b/>
          <w:color w:val="000000" w:themeColor="text1"/>
        </w:rPr>
        <w:t>auto proposent</w:t>
      </w:r>
      <w:r w:rsidRPr="00047C24">
        <w:rPr>
          <w:rFonts w:ascii="Cambria" w:hAnsi="Cambria"/>
          <w:b/>
          <w:color w:val="000000" w:themeColor="text1"/>
        </w:rPr>
        <w:t>-elle</w:t>
      </w:r>
      <w:r w:rsidR="00047C24" w:rsidRPr="00047C24">
        <w:rPr>
          <w:rFonts w:ascii="Cambria" w:hAnsi="Cambria"/>
          <w:b/>
          <w:color w:val="000000" w:themeColor="text1"/>
        </w:rPr>
        <w:t>s</w:t>
      </w:r>
      <w:r w:rsidRPr="00047C24">
        <w:rPr>
          <w:rFonts w:ascii="Cambria" w:hAnsi="Cambria"/>
          <w:b/>
          <w:color w:val="000000" w:themeColor="text1"/>
        </w:rPr>
        <w:t xml:space="preserve"> des tarifs</w:t>
      </w:r>
      <w:r w:rsidR="00047C24" w:rsidRPr="00047C24">
        <w:rPr>
          <w:rFonts w:ascii="Cambria" w:hAnsi="Cambria"/>
          <w:b/>
          <w:color w:val="000000" w:themeColor="text1"/>
        </w:rPr>
        <w:t xml:space="preserve"> différents selon l’âge et même parfois le sexe de leur client ?</w:t>
      </w:r>
    </w:p>
    <w:p w14:paraId="586FEE5D" w14:textId="77777777" w:rsidR="00047C24" w:rsidRDefault="00047C24" w:rsidP="00D97F06">
      <w:pPr>
        <w:pStyle w:val="Sansinterligne"/>
        <w:jc w:val="both"/>
        <w:rPr>
          <w:rFonts w:ascii="Cambria" w:hAnsi="Cambria"/>
          <w:b/>
          <w:color w:val="000000" w:themeColor="text1"/>
        </w:rPr>
      </w:pPr>
    </w:p>
    <w:p w14:paraId="591845D8" w14:textId="77777777" w:rsidR="00047C24" w:rsidRDefault="00047C24" w:rsidP="00D97F06">
      <w:pPr>
        <w:pStyle w:val="Sansinterligne"/>
        <w:jc w:val="both"/>
        <w:rPr>
          <w:rFonts w:ascii="Cambria" w:hAnsi="Cambria"/>
          <w:b/>
          <w:color w:val="000000" w:themeColor="text1"/>
        </w:rPr>
      </w:pPr>
    </w:p>
    <w:p w14:paraId="133C4411" w14:textId="77777777" w:rsidR="00047C24" w:rsidRDefault="00047C24" w:rsidP="00D97F06">
      <w:pPr>
        <w:pStyle w:val="Sansinterligne"/>
        <w:jc w:val="both"/>
        <w:rPr>
          <w:rFonts w:ascii="Cambria" w:hAnsi="Cambria"/>
          <w:i/>
          <w:color w:val="000000" w:themeColor="text1"/>
        </w:rPr>
      </w:pPr>
      <w:r w:rsidRPr="00047C24">
        <w:rPr>
          <w:rFonts w:ascii="Cambria" w:hAnsi="Cambria"/>
          <w:i/>
          <w:color w:val="000000" w:themeColor="text1"/>
        </w:rPr>
        <w:t xml:space="preserve">Pour </w:t>
      </w:r>
      <w:r>
        <w:rPr>
          <w:rFonts w:ascii="Cambria" w:hAnsi="Cambria"/>
          <w:i/>
          <w:color w:val="000000" w:themeColor="text1"/>
        </w:rPr>
        <w:t>les conduites à risques différenciées selon le milieu sociale, vous pouvez regarder le document suivant (vous n’avez pas à traiter les questions)</w:t>
      </w:r>
    </w:p>
    <w:p w14:paraId="0A0BF66D" w14:textId="77777777" w:rsidR="00047C24" w:rsidRDefault="00047C24" w:rsidP="00D97F06">
      <w:pPr>
        <w:pStyle w:val="Sansinterligne"/>
        <w:jc w:val="both"/>
        <w:rPr>
          <w:rFonts w:ascii="Cambria" w:hAnsi="Cambria"/>
          <w:i/>
          <w:color w:val="000000" w:themeColor="text1"/>
        </w:rPr>
      </w:pPr>
    </w:p>
    <w:p w14:paraId="07F97A8F" w14:textId="77777777" w:rsidR="00047C24" w:rsidRPr="00047C24" w:rsidRDefault="00047C24" w:rsidP="00D97F06">
      <w:pPr>
        <w:pStyle w:val="Sansinterligne"/>
        <w:jc w:val="both"/>
        <w:rPr>
          <w:rFonts w:ascii="Cambria" w:hAnsi="Cambria"/>
          <w:i/>
          <w:color w:val="000000" w:themeColor="text1"/>
        </w:rPr>
      </w:pPr>
      <w:r>
        <w:rPr>
          <w:noProof/>
          <w:lang w:eastAsia="fr-FR"/>
        </w:rPr>
        <w:drawing>
          <wp:inline distT="0" distB="0" distL="0" distR="0" wp14:anchorId="50B84945" wp14:editId="48DFB142">
            <wp:extent cx="6642735" cy="4487115"/>
            <wp:effectExtent l="0" t="0" r="1206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64" t="28538" r="42002" b="13028"/>
                    <a:stretch/>
                  </pic:blipFill>
                  <pic:spPr bwMode="auto">
                    <a:xfrm>
                      <a:off x="0" y="0"/>
                      <a:ext cx="6649791" cy="4491881"/>
                    </a:xfrm>
                    <a:prstGeom prst="rect">
                      <a:avLst/>
                    </a:prstGeom>
                    <a:ln>
                      <a:noFill/>
                    </a:ln>
                    <a:extLst>
                      <a:ext uri="{53640926-AAD7-44D8-BBD7-CCE9431645EC}">
                        <a14:shadowObscured xmlns:a14="http://schemas.microsoft.com/office/drawing/2010/main"/>
                      </a:ext>
                    </a:extLst>
                  </pic:spPr>
                </pic:pic>
              </a:graphicData>
            </a:graphic>
          </wp:inline>
        </w:drawing>
      </w:r>
    </w:p>
    <w:sectPr w:rsidR="00047C24" w:rsidRPr="00047C24" w:rsidSect="00A74FC3">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56879"/>
    <w:multiLevelType w:val="hybridMultilevel"/>
    <w:tmpl w:val="69B25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C3"/>
    <w:rsid w:val="00047C24"/>
    <w:rsid w:val="001E5985"/>
    <w:rsid w:val="004F5D53"/>
    <w:rsid w:val="00522C8F"/>
    <w:rsid w:val="0058481F"/>
    <w:rsid w:val="00591001"/>
    <w:rsid w:val="005F5BFA"/>
    <w:rsid w:val="006F705E"/>
    <w:rsid w:val="00983825"/>
    <w:rsid w:val="009A34DE"/>
    <w:rsid w:val="00A74FC3"/>
    <w:rsid w:val="00B33DCB"/>
    <w:rsid w:val="00B36C51"/>
    <w:rsid w:val="00B555EB"/>
    <w:rsid w:val="00BE324B"/>
    <w:rsid w:val="00C27041"/>
    <w:rsid w:val="00D97F0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7C2A9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4FC3"/>
    <w:pPr>
      <w:spacing w:after="160" w:line="259" w:lineRule="auto"/>
    </w:pPr>
    <w:rPr>
      <w:sz w:val="22"/>
      <w:szCs w:val="22"/>
    </w:rPr>
  </w:style>
  <w:style w:type="paragraph" w:styleId="Titre2">
    <w:name w:val="heading 2"/>
    <w:basedOn w:val="Normal"/>
    <w:link w:val="Titre2Car"/>
    <w:uiPriority w:val="9"/>
    <w:qFormat/>
    <w:rsid w:val="00D97F06"/>
    <w:pPr>
      <w:spacing w:before="100" w:beforeAutospacing="1" w:after="100" w:afterAutospacing="1" w:line="240" w:lineRule="auto"/>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74FC3"/>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A74FC3"/>
    <w:rPr>
      <w:sz w:val="22"/>
      <w:szCs w:val="22"/>
    </w:rPr>
  </w:style>
  <w:style w:type="paragraph" w:styleId="Pardeliste">
    <w:name w:val="List Paragraph"/>
    <w:basedOn w:val="Normal"/>
    <w:uiPriority w:val="34"/>
    <w:qFormat/>
    <w:rsid w:val="00A74FC3"/>
    <w:pPr>
      <w:spacing w:after="200" w:line="276" w:lineRule="auto"/>
      <w:ind w:left="720"/>
      <w:contextualSpacing/>
    </w:pPr>
  </w:style>
  <w:style w:type="character" w:customStyle="1" w:styleId="Titre2Car">
    <w:name w:val="Titre 2 Car"/>
    <w:basedOn w:val="Policepardfaut"/>
    <w:link w:val="Titre2"/>
    <w:uiPriority w:val="9"/>
    <w:rsid w:val="00D97F06"/>
    <w:rPr>
      <w:rFonts w:ascii="Times New Roman" w:hAnsi="Times New Roman" w:cs="Times New Roman"/>
      <w:b/>
      <w:bCs/>
      <w:sz w:val="36"/>
      <w:szCs w:val="36"/>
      <w:lang w:eastAsia="fr-FR"/>
    </w:rPr>
  </w:style>
  <w:style w:type="character" w:styleId="lev">
    <w:name w:val="Strong"/>
    <w:basedOn w:val="Policepardfaut"/>
    <w:uiPriority w:val="22"/>
    <w:qFormat/>
    <w:rsid w:val="00D97F06"/>
    <w:rPr>
      <w:b/>
      <w:bCs/>
    </w:rPr>
  </w:style>
  <w:style w:type="character" w:customStyle="1" w:styleId="apple-converted-space">
    <w:name w:val="apple-converted-space"/>
    <w:basedOn w:val="Policepardfaut"/>
    <w:rsid w:val="00D97F06"/>
  </w:style>
  <w:style w:type="character" w:styleId="Lienhypertexte">
    <w:name w:val="Hyperlink"/>
    <w:basedOn w:val="Policepardfaut"/>
    <w:uiPriority w:val="99"/>
    <w:unhideWhenUsed/>
    <w:rsid w:val="005848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482495">
      <w:bodyDiv w:val="1"/>
      <w:marLeft w:val="0"/>
      <w:marRight w:val="0"/>
      <w:marTop w:val="0"/>
      <w:marBottom w:val="0"/>
      <w:divBdr>
        <w:top w:val="none" w:sz="0" w:space="0" w:color="auto"/>
        <w:left w:val="none" w:sz="0" w:space="0" w:color="auto"/>
        <w:bottom w:val="none" w:sz="0" w:space="0" w:color="auto"/>
        <w:right w:val="none" w:sz="0" w:space="0" w:color="auto"/>
      </w:divBdr>
    </w:div>
    <w:div w:id="367222804">
      <w:bodyDiv w:val="1"/>
      <w:marLeft w:val="0"/>
      <w:marRight w:val="0"/>
      <w:marTop w:val="0"/>
      <w:marBottom w:val="0"/>
      <w:divBdr>
        <w:top w:val="none" w:sz="0" w:space="0" w:color="auto"/>
        <w:left w:val="none" w:sz="0" w:space="0" w:color="auto"/>
        <w:bottom w:val="none" w:sz="0" w:space="0" w:color="auto"/>
        <w:right w:val="none" w:sz="0" w:space="0" w:color="auto"/>
      </w:divBdr>
    </w:div>
    <w:div w:id="415396021">
      <w:bodyDiv w:val="1"/>
      <w:marLeft w:val="0"/>
      <w:marRight w:val="0"/>
      <w:marTop w:val="0"/>
      <w:marBottom w:val="0"/>
      <w:divBdr>
        <w:top w:val="none" w:sz="0" w:space="0" w:color="auto"/>
        <w:left w:val="none" w:sz="0" w:space="0" w:color="auto"/>
        <w:bottom w:val="none" w:sz="0" w:space="0" w:color="auto"/>
        <w:right w:val="none" w:sz="0" w:space="0" w:color="auto"/>
      </w:divBdr>
    </w:div>
    <w:div w:id="735206833">
      <w:bodyDiv w:val="1"/>
      <w:marLeft w:val="0"/>
      <w:marRight w:val="0"/>
      <w:marTop w:val="0"/>
      <w:marBottom w:val="0"/>
      <w:divBdr>
        <w:top w:val="none" w:sz="0" w:space="0" w:color="auto"/>
        <w:left w:val="none" w:sz="0" w:space="0" w:color="auto"/>
        <w:bottom w:val="none" w:sz="0" w:space="0" w:color="auto"/>
        <w:right w:val="none" w:sz="0" w:space="0" w:color="auto"/>
      </w:divBdr>
    </w:div>
    <w:div w:id="1025402978">
      <w:bodyDiv w:val="1"/>
      <w:marLeft w:val="0"/>
      <w:marRight w:val="0"/>
      <w:marTop w:val="0"/>
      <w:marBottom w:val="0"/>
      <w:divBdr>
        <w:top w:val="none" w:sz="0" w:space="0" w:color="auto"/>
        <w:left w:val="none" w:sz="0" w:space="0" w:color="auto"/>
        <w:bottom w:val="none" w:sz="0" w:space="0" w:color="auto"/>
        <w:right w:val="none" w:sz="0" w:space="0" w:color="auto"/>
      </w:divBdr>
    </w:div>
    <w:div w:id="1378237396">
      <w:bodyDiv w:val="1"/>
      <w:marLeft w:val="0"/>
      <w:marRight w:val="0"/>
      <w:marTop w:val="0"/>
      <w:marBottom w:val="0"/>
      <w:divBdr>
        <w:top w:val="none" w:sz="0" w:space="0" w:color="auto"/>
        <w:left w:val="none" w:sz="0" w:space="0" w:color="auto"/>
        <w:bottom w:val="none" w:sz="0" w:space="0" w:color="auto"/>
        <w:right w:val="none" w:sz="0" w:space="0" w:color="auto"/>
      </w:divBdr>
    </w:div>
    <w:div w:id="1536696829">
      <w:bodyDiv w:val="1"/>
      <w:marLeft w:val="0"/>
      <w:marRight w:val="0"/>
      <w:marTop w:val="0"/>
      <w:marBottom w:val="0"/>
      <w:divBdr>
        <w:top w:val="none" w:sz="0" w:space="0" w:color="auto"/>
        <w:left w:val="none" w:sz="0" w:space="0" w:color="auto"/>
        <w:bottom w:val="none" w:sz="0" w:space="0" w:color="auto"/>
        <w:right w:val="none" w:sz="0" w:space="0" w:color="auto"/>
      </w:divBdr>
    </w:div>
    <w:div w:id="1692950196">
      <w:bodyDiv w:val="1"/>
      <w:marLeft w:val="0"/>
      <w:marRight w:val="0"/>
      <w:marTop w:val="0"/>
      <w:marBottom w:val="0"/>
      <w:divBdr>
        <w:top w:val="none" w:sz="0" w:space="0" w:color="auto"/>
        <w:left w:val="none" w:sz="0" w:space="0" w:color="auto"/>
        <w:bottom w:val="none" w:sz="0" w:space="0" w:color="auto"/>
        <w:right w:val="none" w:sz="0" w:space="0" w:color="auto"/>
      </w:divBdr>
    </w:div>
    <w:div w:id="19896754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hyperlink" Target="https://www.yapaka.be/video/video-conduites-a-risque-a-ladolescence-question-de-genre" TargetMode="External"/><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555</Words>
  <Characters>3054</Characters>
  <Application>Microsoft Macintosh Word</Application>
  <DocSecurity>0</DocSecurity>
  <Lines>25</Lines>
  <Paragraphs>7</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Consommation d'alcool selon l'âge</vt:lpstr>
    </vt:vector>
  </TitlesOfParts>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Merriaux</dc:creator>
  <cp:keywords/>
  <dc:description/>
  <cp:lastModifiedBy>Antoine Merriaux</cp:lastModifiedBy>
  <cp:revision>3</cp:revision>
  <dcterms:created xsi:type="dcterms:W3CDTF">2020-05-10T16:31:00Z</dcterms:created>
  <dcterms:modified xsi:type="dcterms:W3CDTF">2020-05-10T18:10:00Z</dcterms:modified>
</cp:coreProperties>
</file>