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199" w:rsidRDefault="00246199" w:rsidP="00246199">
      <w:pPr>
        <w:jc w:val="center"/>
        <w:rPr>
          <w:b/>
        </w:rPr>
      </w:pPr>
    </w:p>
    <w:p w:rsidR="009A3954" w:rsidRPr="00AE77DB" w:rsidRDefault="000844E1" w:rsidP="00246199">
      <w:pPr>
        <w:jc w:val="center"/>
        <w:rPr>
          <w:b/>
          <w:sz w:val="36"/>
          <w:szCs w:val="36"/>
        </w:rPr>
      </w:pPr>
      <w:r w:rsidRPr="00AE77DB">
        <w:rPr>
          <w:b/>
          <w:sz w:val="36"/>
          <w:szCs w:val="36"/>
        </w:rPr>
        <w:t>Manuel de protection du compteur</w:t>
      </w:r>
    </w:p>
    <w:p w:rsidR="00246199" w:rsidRPr="00246199" w:rsidRDefault="00246199" w:rsidP="00246199">
      <w:pPr>
        <w:jc w:val="center"/>
        <w:rPr>
          <w:b/>
        </w:rPr>
      </w:pPr>
    </w:p>
    <w:p w:rsidR="00B13C29" w:rsidRPr="00926A31" w:rsidRDefault="00B13C29" w:rsidP="00B13C29">
      <w:pPr>
        <w:rPr>
          <w:b/>
          <w:color w:val="E36C0A"/>
          <w:sz w:val="18"/>
          <w:szCs w:val="18"/>
        </w:rPr>
      </w:pPr>
      <w:r w:rsidRPr="00926A31">
        <w:rPr>
          <w:b/>
          <w:color w:val="E36C0A"/>
          <w:sz w:val="18"/>
          <w:szCs w:val="18"/>
        </w:rPr>
        <w:t>20 juin 2017 Juridiction de proximité de La Rochelle faisant jurisprudence.</w:t>
      </w:r>
    </w:p>
    <w:p w:rsidR="00B13C29" w:rsidRPr="00926A31" w:rsidRDefault="00B13C29" w:rsidP="00B13C29">
      <w:pPr>
        <w:rPr>
          <w:b/>
          <w:color w:val="E36C0A"/>
          <w:sz w:val="18"/>
          <w:szCs w:val="18"/>
        </w:rPr>
      </w:pPr>
      <w:r w:rsidRPr="00926A31">
        <w:rPr>
          <w:b/>
          <w:color w:val="E36C0A"/>
          <w:sz w:val="18"/>
          <w:szCs w:val="18"/>
        </w:rPr>
        <w:t>JUGEMENT SUR LE FOND :</w:t>
      </w:r>
    </w:p>
    <w:p w:rsidR="00B13C29" w:rsidRPr="00926A31" w:rsidRDefault="00B13C29" w:rsidP="00B13C29">
      <w:pPr>
        <w:rPr>
          <w:b/>
          <w:color w:val="E36C0A"/>
          <w:sz w:val="18"/>
          <w:szCs w:val="18"/>
        </w:rPr>
      </w:pPr>
      <w:r w:rsidRPr="00926A31">
        <w:rPr>
          <w:b/>
          <w:color w:val="E36C0A"/>
          <w:sz w:val="18"/>
          <w:szCs w:val="18"/>
        </w:rPr>
        <w:t>Le citoyen consommateur a le droit, sans caractère infractionnel, de protéger légitimement, concrètement, par des protections et mais aussi physiquement, son compteur électrique contre les intervenants (prestataires).</w:t>
      </w:r>
    </w:p>
    <w:p w:rsidR="00B13C29" w:rsidRPr="00080B18" w:rsidRDefault="002D424F">
      <w:pPr>
        <w:rPr>
          <w:sz w:val="20"/>
          <w:szCs w:val="20"/>
        </w:rPr>
      </w:pPr>
      <w:hyperlink r:id="rId7" w:history="1">
        <w:r w:rsidR="00B13C29" w:rsidRPr="00080B18">
          <w:rPr>
            <w:rStyle w:val="Lienhypertexte"/>
            <w:sz w:val="20"/>
            <w:szCs w:val="20"/>
          </w:rPr>
          <w:t>http://www.next-up.org/pdf/Linky_Jugement_au_Fond_Legitime_protection_de_biens.pdf</w:t>
        </w:r>
      </w:hyperlink>
    </w:p>
    <w:p w:rsidR="00B13C29" w:rsidRPr="00080B18" w:rsidRDefault="00B13C29" w:rsidP="00B13C29">
      <w:pPr>
        <w:rPr>
          <w:sz w:val="20"/>
          <w:szCs w:val="20"/>
        </w:rPr>
      </w:pPr>
      <w:r w:rsidRPr="00080B18">
        <w:rPr>
          <w:sz w:val="20"/>
          <w:szCs w:val="20"/>
        </w:rPr>
        <w:t xml:space="preserve">D’une part, le coffret vous appartient puisqu'il est un bien immeuble, art. 516/525 code civil. Vous avez le droit d'en disposer, d’en protéger l'accès et de le clore art. 647 code civil puisqu'il renferme un élément pouvant signaler votre absence, voir même vous mettre en cause dans une tentative de fraude si une personne malveillante enlevait les scellés de votre compteur à votre insu, ou dégradait d’une manière quelconque le matériel de comptage et de raccordement au réseau, ce qui pourrait vous coûter une suspension à l’accès au réseau public de distribution, comme le prévoit le paragraphe 5.5 des dernières CVG (conditions générales de vente) </w:t>
      </w:r>
      <w:r w:rsidR="00165772" w:rsidRPr="00080B18">
        <w:rPr>
          <w:sz w:val="20"/>
          <w:szCs w:val="20"/>
        </w:rPr>
        <w:t xml:space="preserve">d’ENEDIS  </w:t>
      </w:r>
      <w:r w:rsidRPr="00080B18">
        <w:rPr>
          <w:sz w:val="20"/>
          <w:szCs w:val="20"/>
        </w:rPr>
        <w:t>jointes aux CGV des fournisseurs</w:t>
      </w:r>
      <w:r w:rsidR="00165772" w:rsidRPr="00080B18">
        <w:rPr>
          <w:sz w:val="20"/>
          <w:szCs w:val="20"/>
        </w:rPr>
        <w:t xml:space="preserve"> : </w:t>
      </w:r>
      <w:r w:rsidRPr="00080B18">
        <w:rPr>
          <w:sz w:val="20"/>
          <w:szCs w:val="20"/>
        </w:rPr>
        <w:t xml:space="preserve">ENEDIS  peut procéder à la suspension ou refuser l’accès au RPD (réseau public de distribution)  dans les cas de modifications, dégradation ou destruction volontaire des ouvrages et comptages exploités par ENEDIS, quelle qu'en soit la cause. </w:t>
      </w:r>
    </w:p>
    <w:p w:rsidR="00165772" w:rsidRPr="00080B18" w:rsidRDefault="00165772" w:rsidP="00B13C29">
      <w:pPr>
        <w:rPr>
          <w:rFonts w:eastAsia="Times New Roman" w:cstheme="minorHAnsi"/>
          <w:sz w:val="20"/>
          <w:szCs w:val="20"/>
          <w:lang w:eastAsia="fr-FR"/>
        </w:rPr>
      </w:pPr>
      <w:r w:rsidRPr="00080B18">
        <w:rPr>
          <w:sz w:val="20"/>
          <w:szCs w:val="20"/>
        </w:rPr>
        <w:t xml:space="preserve">D’autre part, il faut éviter de modifier le coffret, par des trous ou toute autre façon. </w:t>
      </w:r>
      <w:r w:rsidR="00BC2BD3" w:rsidRPr="00080B18">
        <w:rPr>
          <w:rFonts w:eastAsia="Times New Roman" w:cstheme="minorHAnsi"/>
          <w:sz w:val="20"/>
          <w:szCs w:val="20"/>
          <w:lang w:eastAsia="fr-FR"/>
        </w:rPr>
        <w:t xml:space="preserve">Dans les fiches </w:t>
      </w:r>
      <w:proofErr w:type="spellStart"/>
      <w:r w:rsidR="00BC2BD3" w:rsidRPr="00080B18">
        <w:rPr>
          <w:rFonts w:eastAsia="Times New Roman" w:cstheme="minorHAnsi"/>
          <w:sz w:val="20"/>
          <w:szCs w:val="20"/>
          <w:lang w:eastAsia="fr-FR"/>
        </w:rPr>
        <w:t>SéQuélec</w:t>
      </w:r>
      <w:proofErr w:type="spellEnd"/>
      <w:r w:rsidR="00BC2BD3" w:rsidRPr="00080B18">
        <w:rPr>
          <w:rFonts w:eastAsia="Times New Roman" w:cstheme="minorHAnsi"/>
          <w:sz w:val="20"/>
          <w:szCs w:val="20"/>
          <w:lang w:eastAsia="fr-FR"/>
        </w:rPr>
        <w:t xml:space="preserve"> des </w:t>
      </w:r>
      <w:r w:rsidR="00BC2BD3" w:rsidRPr="0016689D">
        <w:rPr>
          <w:rFonts w:eastAsia="Times New Roman" w:cstheme="minorHAnsi"/>
          <w:b/>
          <w:sz w:val="20"/>
          <w:szCs w:val="20"/>
          <w:lang w:eastAsia="fr-FR"/>
        </w:rPr>
        <w:t xml:space="preserve">nouveaux </w:t>
      </w:r>
      <w:r w:rsidR="00BC2BD3" w:rsidRPr="00080B18">
        <w:rPr>
          <w:rFonts w:eastAsia="Times New Roman" w:cstheme="minorHAnsi"/>
          <w:sz w:val="20"/>
          <w:szCs w:val="20"/>
          <w:lang w:eastAsia="fr-FR"/>
        </w:rPr>
        <w:t>coffrets il est mentionné qu’il y a 4 trous de fixation et qu’il est interdit d’en percer d’autres.</w:t>
      </w:r>
    </w:p>
    <w:p w:rsidR="00C65AC1" w:rsidRPr="00C65AC1" w:rsidRDefault="00C65AC1" w:rsidP="00C65AC1">
      <w:pPr>
        <w:rPr>
          <w:rFonts w:eastAsia="Times New Roman" w:cstheme="minorHAnsi"/>
          <w:sz w:val="20"/>
          <w:szCs w:val="20"/>
          <w:lang w:eastAsia="fr-FR"/>
        </w:rPr>
      </w:pPr>
      <w:r w:rsidRPr="00C65AC1">
        <w:rPr>
          <w:rFonts w:eastAsia="Times New Roman" w:cstheme="minorHAnsi"/>
          <w:sz w:val="20"/>
          <w:szCs w:val="20"/>
          <w:lang w:eastAsia="fr-FR"/>
        </w:rPr>
        <w:t xml:space="preserve">Conseils : </w:t>
      </w:r>
    </w:p>
    <w:p w:rsidR="00C65AC1" w:rsidRPr="00C65AC1" w:rsidRDefault="00C65AC1" w:rsidP="00C65AC1">
      <w:pPr>
        <w:pStyle w:val="Paragraphedeliste"/>
        <w:numPr>
          <w:ilvl w:val="0"/>
          <w:numId w:val="1"/>
        </w:numPr>
        <w:rPr>
          <w:rFonts w:eastAsia="Times New Roman" w:cstheme="minorHAnsi"/>
          <w:sz w:val="20"/>
          <w:szCs w:val="20"/>
          <w:lang w:eastAsia="fr-FR"/>
        </w:rPr>
      </w:pPr>
      <w:r w:rsidRPr="00C65AC1">
        <w:rPr>
          <w:rFonts w:eastAsia="Times New Roman" w:cstheme="minorHAnsi"/>
          <w:sz w:val="20"/>
          <w:szCs w:val="20"/>
          <w:lang w:eastAsia="fr-FR"/>
        </w:rPr>
        <w:t xml:space="preserve">Ne pas permettre le dévissage </w:t>
      </w:r>
    </w:p>
    <w:p w:rsidR="00C65AC1" w:rsidRPr="00C65AC1" w:rsidRDefault="00C65AC1" w:rsidP="00C65AC1">
      <w:pPr>
        <w:pStyle w:val="Paragraphedeliste"/>
        <w:numPr>
          <w:ilvl w:val="0"/>
          <w:numId w:val="1"/>
        </w:numPr>
        <w:rPr>
          <w:rFonts w:eastAsia="Times New Roman" w:cstheme="minorHAnsi"/>
          <w:sz w:val="20"/>
          <w:szCs w:val="20"/>
          <w:lang w:eastAsia="fr-FR"/>
        </w:rPr>
      </w:pPr>
      <w:r w:rsidRPr="00C65AC1">
        <w:rPr>
          <w:rFonts w:eastAsia="Times New Roman" w:cstheme="minorHAnsi"/>
          <w:sz w:val="20"/>
          <w:szCs w:val="20"/>
          <w:lang w:eastAsia="fr-FR"/>
        </w:rPr>
        <w:t xml:space="preserve">Ne pas permettre le passage d’un tournevis </w:t>
      </w:r>
    </w:p>
    <w:p w:rsidR="00C65AC1" w:rsidRPr="00C65AC1" w:rsidRDefault="00C65AC1" w:rsidP="00C65AC1">
      <w:pPr>
        <w:pStyle w:val="Paragraphedeliste"/>
        <w:numPr>
          <w:ilvl w:val="0"/>
          <w:numId w:val="1"/>
        </w:numPr>
        <w:rPr>
          <w:rFonts w:eastAsia="Times New Roman" w:cstheme="minorHAnsi"/>
          <w:sz w:val="20"/>
          <w:szCs w:val="20"/>
          <w:lang w:eastAsia="fr-FR"/>
        </w:rPr>
      </w:pPr>
      <w:r w:rsidRPr="00C65AC1">
        <w:rPr>
          <w:rFonts w:eastAsia="Times New Roman" w:cstheme="minorHAnsi"/>
          <w:sz w:val="20"/>
          <w:szCs w:val="20"/>
          <w:lang w:eastAsia="fr-FR"/>
        </w:rPr>
        <w:t>Choisir des mat</w:t>
      </w:r>
      <w:r w:rsidR="0016689D">
        <w:rPr>
          <w:rFonts w:eastAsia="Times New Roman" w:cstheme="minorHAnsi"/>
          <w:sz w:val="20"/>
          <w:szCs w:val="20"/>
          <w:lang w:eastAsia="fr-FR"/>
        </w:rPr>
        <w:t>é</w:t>
      </w:r>
      <w:r w:rsidRPr="00C65AC1">
        <w:rPr>
          <w:rFonts w:eastAsia="Times New Roman" w:cstheme="minorHAnsi"/>
          <w:sz w:val="20"/>
          <w:szCs w:val="20"/>
          <w:lang w:eastAsia="fr-FR"/>
        </w:rPr>
        <w:t xml:space="preserve">riaux résistants difficiles à couper </w:t>
      </w:r>
    </w:p>
    <w:p w:rsidR="00C65AC1" w:rsidRPr="00C65AC1" w:rsidRDefault="00C65AC1" w:rsidP="00C65AC1">
      <w:pPr>
        <w:pStyle w:val="Paragraphedeliste"/>
        <w:numPr>
          <w:ilvl w:val="0"/>
          <w:numId w:val="1"/>
        </w:numPr>
        <w:rPr>
          <w:rFonts w:eastAsia="Times New Roman" w:cstheme="minorHAnsi"/>
          <w:sz w:val="20"/>
          <w:szCs w:val="20"/>
          <w:lang w:eastAsia="fr-FR"/>
        </w:rPr>
      </w:pPr>
      <w:r w:rsidRPr="00C65AC1">
        <w:rPr>
          <w:rFonts w:eastAsia="Times New Roman" w:cstheme="minorHAnsi"/>
          <w:sz w:val="20"/>
          <w:szCs w:val="20"/>
          <w:lang w:eastAsia="fr-FR"/>
        </w:rPr>
        <w:t xml:space="preserve">Choisir scellement chimique pour mur </w:t>
      </w:r>
    </w:p>
    <w:p w:rsidR="0071027B" w:rsidRDefault="00694B21" w:rsidP="00C65AC1">
      <w:pPr>
        <w:rPr>
          <w:rFonts w:eastAsia="Times New Roman" w:cstheme="minorHAnsi"/>
          <w:sz w:val="20"/>
          <w:szCs w:val="20"/>
          <w:lang w:eastAsia="fr-FR"/>
        </w:rPr>
      </w:pPr>
      <w:r>
        <w:rPr>
          <w:noProof/>
          <w:lang w:eastAsia="fr-FR"/>
        </w:rPr>
        <w:drawing>
          <wp:anchor distT="0" distB="0" distL="114300" distR="114300" simplePos="0" relativeHeight="251663360" behindDoc="1" locked="0" layoutInCell="1" allowOverlap="1" wp14:anchorId="1E6E232B" wp14:editId="0247DBCD">
            <wp:simplePos x="0" y="0"/>
            <wp:positionH relativeFrom="column">
              <wp:posOffset>3412599</wp:posOffset>
            </wp:positionH>
            <wp:positionV relativeFrom="paragraph">
              <wp:posOffset>243947</wp:posOffset>
            </wp:positionV>
            <wp:extent cx="1557020" cy="1163320"/>
            <wp:effectExtent l="0" t="0" r="508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7020" cy="1163320"/>
                    </a:xfrm>
                    <a:prstGeom prst="rect">
                      <a:avLst/>
                    </a:prstGeom>
                  </pic:spPr>
                </pic:pic>
              </a:graphicData>
            </a:graphic>
            <wp14:sizeRelH relativeFrom="page">
              <wp14:pctWidth>0</wp14:pctWidth>
            </wp14:sizeRelH>
            <wp14:sizeRelV relativeFrom="page">
              <wp14:pctHeight>0</wp14:pctHeight>
            </wp14:sizeRelV>
          </wp:anchor>
        </w:drawing>
      </w:r>
      <w:r w:rsidR="00D54470">
        <w:rPr>
          <w:rFonts w:eastAsia="Times New Roman" w:cstheme="minorHAnsi"/>
          <w:sz w:val="20"/>
          <w:szCs w:val="20"/>
          <w:lang w:eastAsia="fr-FR"/>
        </w:rPr>
        <w:t>T</w:t>
      </w:r>
      <w:r w:rsidR="00C65AC1" w:rsidRPr="00C65AC1">
        <w:rPr>
          <w:rFonts w:eastAsia="Times New Roman" w:cstheme="minorHAnsi"/>
          <w:sz w:val="20"/>
          <w:szCs w:val="20"/>
          <w:lang w:eastAsia="fr-FR"/>
        </w:rPr>
        <w:t>out faire pour com</w:t>
      </w:r>
      <w:r w:rsidR="00C65AC1">
        <w:rPr>
          <w:rFonts w:eastAsia="Times New Roman" w:cstheme="minorHAnsi"/>
          <w:sz w:val="20"/>
          <w:szCs w:val="20"/>
          <w:lang w:eastAsia="fr-FR"/>
        </w:rPr>
        <w:t>pliquer la tâche des poseurs ! Ne vous croyez pas à l’abri</w:t>
      </w:r>
      <w:r w:rsidR="00C65AC1" w:rsidRPr="00C65AC1">
        <w:rPr>
          <w:rFonts w:eastAsia="Times New Roman" w:cstheme="minorHAnsi"/>
          <w:sz w:val="20"/>
          <w:szCs w:val="20"/>
          <w:lang w:eastAsia="fr-FR"/>
        </w:rPr>
        <w:t xml:space="preserve"> si votre compteur est dans votre jardin, </w:t>
      </w:r>
      <w:r w:rsidR="00C65AC1">
        <w:rPr>
          <w:rFonts w:eastAsia="Times New Roman" w:cstheme="minorHAnsi"/>
          <w:sz w:val="20"/>
          <w:szCs w:val="20"/>
          <w:lang w:eastAsia="fr-FR"/>
        </w:rPr>
        <w:t xml:space="preserve">les poseurs peuvent rentrer si ce n’est pas fermé à clef. Pensez </w:t>
      </w:r>
      <w:r w:rsidR="00BF50E9">
        <w:rPr>
          <w:rFonts w:eastAsia="Times New Roman" w:cstheme="minorHAnsi"/>
          <w:sz w:val="20"/>
          <w:szCs w:val="20"/>
          <w:lang w:eastAsia="fr-FR"/>
        </w:rPr>
        <w:t>à me</w:t>
      </w:r>
      <w:r w:rsidR="00C65AC1">
        <w:rPr>
          <w:rFonts w:eastAsia="Times New Roman" w:cstheme="minorHAnsi"/>
          <w:sz w:val="20"/>
          <w:szCs w:val="20"/>
          <w:lang w:eastAsia="fr-FR"/>
        </w:rPr>
        <w:t>ttre un panneau de propriété privée</w:t>
      </w:r>
      <w:r w:rsidR="00BF50E9">
        <w:rPr>
          <w:rFonts w:eastAsia="Times New Roman" w:cstheme="minorHAnsi"/>
          <w:sz w:val="20"/>
          <w:szCs w:val="20"/>
          <w:lang w:eastAsia="fr-FR"/>
        </w:rPr>
        <w:t>.</w:t>
      </w:r>
    </w:p>
    <w:p w:rsidR="00BF50E9" w:rsidRDefault="00BF50E9" w:rsidP="00C65AC1">
      <w:pPr>
        <w:rPr>
          <w:rFonts w:eastAsia="Times New Roman" w:cstheme="minorHAnsi"/>
          <w:sz w:val="20"/>
          <w:szCs w:val="20"/>
          <w:lang w:eastAsia="fr-FR"/>
        </w:rPr>
      </w:pPr>
      <w:r>
        <w:rPr>
          <w:rFonts w:eastAsia="Times New Roman" w:cstheme="minorHAnsi"/>
          <w:sz w:val="20"/>
          <w:szCs w:val="20"/>
          <w:lang w:eastAsia="fr-FR"/>
        </w:rPr>
        <w:t>Si vous utilisez un cadenas, choisissez un modèle de sécurité :</w:t>
      </w:r>
    </w:p>
    <w:p w:rsidR="00BC2BD3" w:rsidRPr="00080B18" w:rsidRDefault="00BC2BD3" w:rsidP="00B13C29">
      <w:pPr>
        <w:rPr>
          <w:sz w:val="20"/>
          <w:szCs w:val="20"/>
        </w:rPr>
      </w:pPr>
      <w:r w:rsidRPr="005D374B">
        <w:rPr>
          <w:rFonts w:eastAsia="Times New Roman" w:cstheme="minorHAnsi"/>
          <w:b/>
          <w:sz w:val="20"/>
          <w:szCs w:val="20"/>
          <w:lang w:eastAsia="fr-FR"/>
        </w:rPr>
        <w:t>Voici des modèles de protection sans modification du boitier</w:t>
      </w:r>
      <w:r w:rsidRPr="00080B18">
        <w:rPr>
          <w:rFonts w:eastAsia="Times New Roman" w:cstheme="minorHAnsi"/>
          <w:sz w:val="20"/>
          <w:szCs w:val="20"/>
          <w:lang w:eastAsia="fr-FR"/>
        </w:rPr>
        <w:t>.</w:t>
      </w:r>
    </w:p>
    <w:p w:rsidR="00D54470" w:rsidRDefault="00246199">
      <w:r w:rsidRPr="00331077">
        <w:rPr>
          <w:b/>
          <w:noProof/>
          <w:lang w:eastAsia="fr-FR"/>
        </w:rPr>
        <w:drawing>
          <wp:anchor distT="0" distB="0" distL="114300" distR="114300" simplePos="0" relativeHeight="251658240" behindDoc="1" locked="0" layoutInCell="1" allowOverlap="1" wp14:anchorId="1C7306E3" wp14:editId="03DBFA2D">
            <wp:simplePos x="0" y="0"/>
            <wp:positionH relativeFrom="column">
              <wp:posOffset>135255</wp:posOffset>
            </wp:positionH>
            <wp:positionV relativeFrom="paragraph">
              <wp:posOffset>50165</wp:posOffset>
            </wp:positionV>
            <wp:extent cx="2982595" cy="2571115"/>
            <wp:effectExtent l="0" t="0" r="8255"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982595" cy="2571115"/>
                    </a:xfrm>
                    <a:prstGeom prst="rect">
                      <a:avLst/>
                    </a:prstGeom>
                  </pic:spPr>
                </pic:pic>
              </a:graphicData>
            </a:graphic>
            <wp14:sizeRelH relativeFrom="page">
              <wp14:pctWidth>0</wp14:pctWidth>
            </wp14:sizeRelH>
            <wp14:sizeRelV relativeFrom="page">
              <wp14:pctHeight>0</wp14:pctHeight>
            </wp14:sizeRelV>
          </wp:anchor>
        </w:drawing>
      </w:r>
    </w:p>
    <w:p w:rsidR="00165772" w:rsidRPr="00331077" w:rsidRDefault="00694B21">
      <w:pPr>
        <w:rPr>
          <w:b/>
        </w:rPr>
      </w:pPr>
      <w:r>
        <w:rPr>
          <w:noProof/>
          <w:lang w:eastAsia="fr-FR"/>
        </w:rPr>
        <w:drawing>
          <wp:anchor distT="0" distB="0" distL="114300" distR="114300" simplePos="0" relativeHeight="251659264" behindDoc="1" locked="0" layoutInCell="1" allowOverlap="1" wp14:anchorId="7DA6BDDE" wp14:editId="00CEF57F">
            <wp:simplePos x="0" y="0"/>
            <wp:positionH relativeFrom="column">
              <wp:posOffset>3937855</wp:posOffset>
            </wp:positionH>
            <wp:positionV relativeFrom="paragraph">
              <wp:posOffset>16825</wp:posOffset>
            </wp:positionV>
            <wp:extent cx="1962150" cy="2051050"/>
            <wp:effectExtent l="0" t="0" r="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962150" cy="2051050"/>
                    </a:xfrm>
                    <a:prstGeom prst="rect">
                      <a:avLst/>
                    </a:prstGeom>
                  </pic:spPr>
                </pic:pic>
              </a:graphicData>
            </a:graphic>
            <wp14:sizeRelH relativeFrom="page">
              <wp14:pctWidth>0</wp14:pctWidth>
            </wp14:sizeRelH>
            <wp14:sizeRelV relativeFrom="page">
              <wp14:pctHeight>0</wp14:pctHeight>
            </wp14:sizeRelV>
          </wp:anchor>
        </w:drawing>
      </w:r>
      <w:r w:rsidR="00331077" w:rsidRPr="00331077">
        <w:rPr>
          <w:b/>
          <w:noProof/>
          <w:lang w:eastAsia="fr-FR"/>
        </w:rPr>
        <w:t xml:space="preserve"> </w:t>
      </w:r>
    </w:p>
    <w:p w:rsidR="00165772" w:rsidRDefault="00165772"/>
    <w:p w:rsidR="00694B21" w:rsidRDefault="00694B21"/>
    <w:p w:rsidR="00694B21" w:rsidRDefault="00694B21"/>
    <w:p w:rsidR="00694B21" w:rsidRDefault="00694B21"/>
    <w:p w:rsidR="00694B21" w:rsidRDefault="00694B21"/>
    <w:p w:rsidR="00694B21" w:rsidRDefault="00694B21"/>
    <w:p w:rsidR="00E12CF6" w:rsidRDefault="00E12CF6" w:rsidP="00694B21">
      <w:pPr>
        <w:ind w:left="5664"/>
      </w:pPr>
      <w:r>
        <w:t>Ce modèle est valable mais il serait plus astucieux de mettre l’ouverture à gauche au lieu d’en bas.</w:t>
      </w:r>
    </w:p>
    <w:p w:rsidR="00694B21" w:rsidRDefault="00694B21" w:rsidP="009031B1">
      <w:pPr>
        <w:ind w:left="5664"/>
        <w:jc w:val="both"/>
      </w:pPr>
    </w:p>
    <w:p w:rsidR="00694B21" w:rsidRDefault="00694B21" w:rsidP="00694B21">
      <w:pPr>
        <w:ind w:left="5664"/>
      </w:pPr>
    </w:p>
    <w:p w:rsidR="00694B21" w:rsidRDefault="00246199" w:rsidP="00694B21">
      <w:r w:rsidRPr="00AE77DB">
        <w:rPr>
          <w:b/>
          <w:noProof/>
          <w:lang w:eastAsia="fr-FR"/>
        </w:rPr>
        <w:lastRenderedPageBreak/>
        <w:drawing>
          <wp:anchor distT="0" distB="0" distL="114300" distR="114300" simplePos="0" relativeHeight="251666432" behindDoc="1" locked="0" layoutInCell="1" allowOverlap="1" wp14:anchorId="4629A837" wp14:editId="47272703">
            <wp:simplePos x="0" y="0"/>
            <wp:positionH relativeFrom="column">
              <wp:posOffset>144780</wp:posOffset>
            </wp:positionH>
            <wp:positionV relativeFrom="paragraph">
              <wp:posOffset>311150</wp:posOffset>
            </wp:positionV>
            <wp:extent cx="3016250" cy="18161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16250" cy="1816100"/>
                    </a:xfrm>
                    <a:prstGeom prst="rect">
                      <a:avLst/>
                    </a:prstGeom>
                  </pic:spPr>
                </pic:pic>
              </a:graphicData>
            </a:graphic>
            <wp14:sizeRelH relativeFrom="page">
              <wp14:pctWidth>0</wp14:pctWidth>
            </wp14:sizeRelH>
            <wp14:sizeRelV relativeFrom="page">
              <wp14:pctHeight>0</wp14:pctHeight>
            </wp14:sizeRelV>
          </wp:anchor>
        </w:drawing>
      </w:r>
      <w:r w:rsidR="00694B21" w:rsidRPr="00AE77DB">
        <w:rPr>
          <w:b/>
          <w:noProof/>
          <w:lang w:eastAsia="fr-FR"/>
        </w:rPr>
        <w:drawing>
          <wp:anchor distT="0" distB="0" distL="114300" distR="114300" simplePos="0" relativeHeight="251660288" behindDoc="1" locked="0" layoutInCell="1" allowOverlap="1" wp14:anchorId="4410808C" wp14:editId="48204843">
            <wp:simplePos x="0" y="0"/>
            <wp:positionH relativeFrom="column">
              <wp:posOffset>4058920</wp:posOffset>
            </wp:positionH>
            <wp:positionV relativeFrom="paragraph">
              <wp:posOffset>193675</wp:posOffset>
            </wp:positionV>
            <wp:extent cx="1981200" cy="24828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81200" cy="2482850"/>
                    </a:xfrm>
                    <a:prstGeom prst="rect">
                      <a:avLst/>
                    </a:prstGeom>
                  </pic:spPr>
                </pic:pic>
              </a:graphicData>
            </a:graphic>
            <wp14:sizeRelH relativeFrom="page">
              <wp14:pctWidth>0</wp14:pctWidth>
            </wp14:sizeRelH>
            <wp14:sizeRelV relativeFrom="page">
              <wp14:pctHeight>0</wp14:pctHeight>
            </wp14:sizeRelV>
          </wp:anchor>
        </w:drawing>
      </w:r>
      <w:r w:rsidR="00694B21" w:rsidRPr="00AE77DB">
        <w:rPr>
          <w:b/>
        </w:rPr>
        <w:t>A sceller dans le sol</w:t>
      </w:r>
      <w:r w:rsidR="00694B21">
        <w:t> :</w:t>
      </w:r>
    </w:p>
    <w:p w:rsidR="001B1C67" w:rsidRDefault="001B1C67">
      <w:r>
        <w:rPr>
          <w:noProof/>
          <w:lang w:eastAsia="fr-FR"/>
        </w:rPr>
        <w:drawing>
          <wp:anchor distT="0" distB="0" distL="114300" distR="114300" simplePos="0" relativeHeight="251662336" behindDoc="1" locked="0" layoutInCell="1" allowOverlap="1" wp14:anchorId="5961566E" wp14:editId="063D94B4">
            <wp:simplePos x="0" y="0"/>
            <wp:positionH relativeFrom="column">
              <wp:posOffset>1025</wp:posOffset>
            </wp:positionH>
            <wp:positionV relativeFrom="paragraph">
              <wp:posOffset>-9321706</wp:posOffset>
            </wp:positionV>
            <wp:extent cx="1847850" cy="135255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847850" cy="1352550"/>
                    </a:xfrm>
                    <a:prstGeom prst="rect">
                      <a:avLst/>
                    </a:prstGeom>
                  </pic:spPr>
                </pic:pic>
              </a:graphicData>
            </a:graphic>
            <wp14:sizeRelH relativeFrom="page">
              <wp14:pctWidth>0</wp14:pctWidth>
            </wp14:sizeRelH>
            <wp14:sizeRelV relativeFrom="page">
              <wp14:pctHeight>0</wp14:pctHeight>
            </wp14:sizeRelV>
          </wp:anchor>
        </w:drawing>
      </w:r>
    </w:p>
    <w:p w:rsidR="00331077" w:rsidRDefault="00331077"/>
    <w:p w:rsidR="0080595D" w:rsidRDefault="0080595D"/>
    <w:p w:rsidR="006E0AD6" w:rsidRDefault="006E0AD6"/>
    <w:p w:rsidR="00E50A1E" w:rsidRDefault="00E50A1E"/>
    <w:p w:rsidR="00694B21" w:rsidRDefault="00694B21"/>
    <w:p w:rsidR="00694B21" w:rsidRDefault="00694B21"/>
    <w:p w:rsidR="00694B21" w:rsidRDefault="00694B21">
      <w:r>
        <w:rPr>
          <w:noProof/>
          <w:lang w:eastAsia="fr-FR"/>
        </w:rPr>
        <w:drawing>
          <wp:anchor distT="0" distB="0" distL="114300" distR="114300" simplePos="0" relativeHeight="251661312" behindDoc="1" locked="0" layoutInCell="1" allowOverlap="1" wp14:anchorId="6E98CED0" wp14:editId="7742F313">
            <wp:simplePos x="0" y="0"/>
            <wp:positionH relativeFrom="column">
              <wp:posOffset>3928745</wp:posOffset>
            </wp:positionH>
            <wp:positionV relativeFrom="paragraph">
              <wp:posOffset>280035</wp:posOffset>
            </wp:positionV>
            <wp:extent cx="2208530" cy="2696845"/>
            <wp:effectExtent l="0" t="0" r="1270" b="825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208530" cy="269684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4384" behindDoc="1" locked="0" layoutInCell="1" allowOverlap="1" wp14:anchorId="1C7A7180" wp14:editId="2060F7F8">
            <wp:simplePos x="0" y="0"/>
            <wp:positionH relativeFrom="column">
              <wp:posOffset>-289560</wp:posOffset>
            </wp:positionH>
            <wp:positionV relativeFrom="paragraph">
              <wp:posOffset>86360</wp:posOffset>
            </wp:positionV>
            <wp:extent cx="3613150" cy="3829050"/>
            <wp:effectExtent l="0" t="0" r="635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613150" cy="3829050"/>
                    </a:xfrm>
                    <a:prstGeom prst="rect">
                      <a:avLst/>
                    </a:prstGeom>
                  </pic:spPr>
                </pic:pic>
              </a:graphicData>
            </a:graphic>
            <wp14:sizeRelH relativeFrom="page">
              <wp14:pctWidth>0</wp14:pctWidth>
            </wp14:sizeRelH>
            <wp14:sizeRelV relativeFrom="page">
              <wp14:pctHeight>0</wp14:pctHeight>
            </wp14:sizeRelV>
          </wp:anchor>
        </w:drawing>
      </w:r>
    </w:p>
    <w:p w:rsidR="00694B21" w:rsidRDefault="00694B21"/>
    <w:p w:rsidR="00694B21" w:rsidRDefault="00694B21"/>
    <w:p w:rsidR="008C14DC" w:rsidRDefault="00694B21">
      <w:r>
        <w:rPr>
          <w:noProof/>
          <w:lang w:eastAsia="fr-FR"/>
        </w:rPr>
        <w:drawing>
          <wp:anchor distT="0" distB="0" distL="114300" distR="114300" simplePos="0" relativeHeight="251665408" behindDoc="1" locked="0" layoutInCell="1" allowOverlap="1" wp14:anchorId="4315AEF9" wp14:editId="31E6640B">
            <wp:simplePos x="0" y="0"/>
            <wp:positionH relativeFrom="column">
              <wp:posOffset>3806561</wp:posOffset>
            </wp:positionH>
            <wp:positionV relativeFrom="paragraph">
              <wp:posOffset>2205845</wp:posOffset>
            </wp:positionV>
            <wp:extent cx="2279650" cy="2781300"/>
            <wp:effectExtent l="0" t="0" r="635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79650" cy="2781300"/>
                    </a:xfrm>
                    <a:prstGeom prst="rect">
                      <a:avLst/>
                    </a:prstGeom>
                  </pic:spPr>
                </pic:pic>
              </a:graphicData>
            </a:graphic>
            <wp14:sizeRelH relativeFrom="page">
              <wp14:pctWidth>0</wp14:pctWidth>
            </wp14:sizeRelH>
            <wp14:sizeRelV relativeFrom="page">
              <wp14:pctHeight>0</wp14:pctHeight>
            </wp14:sizeRelV>
          </wp:anchor>
        </w:drawing>
      </w:r>
    </w:p>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16530E" w:rsidP="008C14DC">
      <w:r>
        <w:rPr>
          <w:noProof/>
          <w:lang w:eastAsia="fr-FR"/>
        </w:rPr>
        <w:drawing>
          <wp:anchor distT="0" distB="0" distL="114300" distR="114300" simplePos="0" relativeHeight="251669504" behindDoc="1" locked="0" layoutInCell="1" allowOverlap="1" wp14:anchorId="6A81F038" wp14:editId="15E97634">
            <wp:simplePos x="0" y="0"/>
            <wp:positionH relativeFrom="column">
              <wp:posOffset>-379020</wp:posOffset>
            </wp:positionH>
            <wp:positionV relativeFrom="paragraph">
              <wp:posOffset>185847</wp:posOffset>
            </wp:positionV>
            <wp:extent cx="3887205" cy="2915216"/>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 compteur avec affich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7205" cy="2915216"/>
                    </a:xfrm>
                    <a:prstGeom prst="rect">
                      <a:avLst/>
                    </a:prstGeom>
                  </pic:spPr>
                </pic:pic>
              </a:graphicData>
            </a:graphic>
            <wp14:sizeRelH relativeFrom="page">
              <wp14:pctWidth>0</wp14:pctWidth>
            </wp14:sizeRelH>
            <wp14:sizeRelV relativeFrom="page">
              <wp14:pctHeight>0</wp14:pctHeight>
            </wp14:sizeRelV>
          </wp:anchor>
        </w:drawing>
      </w:r>
    </w:p>
    <w:p w:rsidR="008C14DC" w:rsidRPr="008C14DC" w:rsidRDefault="008C14DC" w:rsidP="008C14DC"/>
    <w:p w:rsidR="008C14DC" w:rsidRPr="008C14DC" w:rsidRDefault="008C14DC" w:rsidP="008C14DC"/>
    <w:p w:rsidR="008C14DC" w:rsidRPr="008C14DC" w:rsidRDefault="008C14DC" w:rsidP="008C14DC"/>
    <w:p w:rsidR="008C14DC" w:rsidRDefault="008C14DC" w:rsidP="008C14DC"/>
    <w:p w:rsidR="002F6835" w:rsidRDefault="002F6835" w:rsidP="008C14DC">
      <w:pPr>
        <w:jc w:val="right"/>
      </w:pPr>
    </w:p>
    <w:p w:rsidR="008C14DC" w:rsidRDefault="008C14DC" w:rsidP="008C14DC">
      <w:pPr>
        <w:jc w:val="right"/>
      </w:pPr>
    </w:p>
    <w:p w:rsidR="008C14DC" w:rsidRDefault="008C14DC" w:rsidP="008C14DC"/>
    <w:p w:rsidR="008C14DC" w:rsidRDefault="008C14DC" w:rsidP="008C14DC"/>
    <w:p w:rsidR="008C14DC" w:rsidRDefault="008C14DC" w:rsidP="008C14DC"/>
    <w:p w:rsidR="009A5232" w:rsidRDefault="009031B1" w:rsidP="008C14DC">
      <w:r>
        <w:t xml:space="preserve">Vidéo avec d’autres modèles + textes de loi : </w:t>
      </w:r>
      <w:hyperlink r:id="rId18" w:history="1">
        <w:r>
          <w:rPr>
            <w:rStyle w:val="Lienhypertexte"/>
          </w:rPr>
          <w:t>https://www.youtube.com/watch?v=Gje2UmkdsGI</w:t>
        </w:r>
      </w:hyperlink>
    </w:p>
    <w:p w:rsidR="009A5232" w:rsidRPr="00AE77DB" w:rsidRDefault="009A5232" w:rsidP="008C14DC">
      <w:pPr>
        <w:rPr>
          <w:b/>
        </w:rPr>
      </w:pPr>
    </w:p>
    <w:p w:rsidR="0016530E" w:rsidRPr="00AE77DB" w:rsidRDefault="0016530E" w:rsidP="0016530E">
      <w:pPr>
        <w:rPr>
          <w:b/>
        </w:rPr>
      </w:pPr>
      <w:r w:rsidRPr="00AE77DB">
        <w:rPr>
          <w:b/>
        </w:rPr>
        <w:t xml:space="preserve">            </w:t>
      </w:r>
      <w:r w:rsidR="008C14DC" w:rsidRPr="00AE77DB">
        <w:rPr>
          <w:b/>
        </w:rPr>
        <w:t>Protection de compteur</w:t>
      </w:r>
      <w:r w:rsidRPr="00AE77DB">
        <w:rPr>
          <w:b/>
        </w:rPr>
        <w:tab/>
      </w:r>
      <w:r w:rsidRPr="00AE77DB">
        <w:rPr>
          <w:b/>
        </w:rPr>
        <w:tab/>
      </w:r>
      <w:r w:rsidRPr="00AE77DB">
        <w:rPr>
          <w:b/>
        </w:rPr>
        <w:tab/>
        <w:t xml:space="preserve"> Vis </w:t>
      </w:r>
      <w:proofErr w:type="spellStart"/>
      <w:r w:rsidRPr="00AE77DB">
        <w:rPr>
          <w:b/>
        </w:rPr>
        <w:t>indévissables</w:t>
      </w:r>
      <w:proofErr w:type="spellEnd"/>
      <w:r w:rsidRPr="00AE77DB">
        <w:rPr>
          <w:b/>
        </w:rPr>
        <w:t> : (pas besoin des chevilles sur panneau bois)</w:t>
      </w:r>
    </w:p>
    <w:p w:rsidR="008C14DC" w:rsidRDefault="008C14DC" w:rsidP="008C14DC"/>
    <w:p w:rsidR="008C14DC" w:rsidRDefault="0016530E" w:rsidP="008C14DC">
      <w:r>
        <w:rPr>
          <w:noProof/>
          <w:lang w:eastAsia="fr-FR"/>
        </w:rPr>
        <w:drawing>
          <wp:anchor distT="0" distB="0" distL="114300" distR="114300" simplePos="0" relativeHeight="251670528" behindDoc="1" locked="0" layoutInCell="1" allowOverlap="1" wp14:anchorId="2B92AF1C" wp14:editId="35549AAB">
            <wp:simplePos x="0" y="0"/>
            <wp:positionH relativeFrom="column">
              <wp:posOffset>3468370</wp:posOffset>
            </wp:positionH>
            <wp:positionV relativeFrom="paragraph">
              <wp:posOffset>94231</wp:posOffset>
            </wp:positionV>
            <wp:extent cx="2165350" cy="3441700"/>
            <wp:effectExtent l="0" t="0" r="635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65350" cy="3441700"/>
                    </a:xfrm>
                    <a:prstGeom prst="rect">
                      <a:avLst/>
                    </a:prstGeom>
                  </pic:spPr>
                </pic:pic>
              </a:graphicData>
            </a:graphic>
            <wp14:sizeRelH relativeFrom="page">
              <wp14:pctWidth>0</wp14:pctWidth>
            </wp14:sizeRelH>
            <wp14:sizeRelV relativeFrom="page">
              <wp14:pctHeight>0</wp14:pctHeight>
            </wp14:sizeRelV>
          </wp:anchor>
        </w:drawing>
      </w:r>
      <w:r w:rsidR="008C14DC">
        <w:rPr>
          <w:noProof/>
          <w:lang w:eastAsia="fr-FR"/>
        </w:rPr>
        <w:drawing>
          <wp:inline distT="0" distB="0" distL="0" distR="0" wp14:anchorId="09BE4F44" wp14:editId="64F39F92">
            <wp:extent cx="2317750" cy="3625850"/>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17750" cy="3625850"/>
                    </a:xfrm>
                    <a:prstGeom prst="rect">
                      <a:avLst/>
                    </a:prstGeom>
                  </pic:spPr>
                </pic:pic>
              </a:graphicData>
            </a:graphic>
          </wp:inline>
        </w:drawing>
      </w:r>
    </w:p>
    <w:p w:rsidR="001E557C" w:rsidRDefault="001E557C" w:rsidP="008C14DC"/>
    <w:p w:rsidR="008C14DC" w:rsidRDefault="002D424F" w:rsidP="008C14DC">
      <w:pPr>
        <w:rPr>
          <w:rStyle w:val="Lienhypertexte"/>
        </w:rPr>
      </w:pPr>
      <w:hyperlink r:id="rId21" w:history="1">
        <w:r w:rsidR="008C14DC" w:rsidRPr="00C16525">
          <w:rPr>
            <w:rStyle w:val="Lienhypertexte"/>
          </w:rPr>
          <w:t>https://www.castorama.fr/10-vis-indevissables-avec-chevilles-mottez-pour-fixation-securikit/3234640032320_CAFR.prd?fbclid=IwAR3iilfMFLkv4A8n17dcoFQ9fJZIsm_lh1cmDmjMkrohf7a2Q2gEEcdu6AY#</w:t>
        </w:r>
      </w:hyperlink>
    </w:p>
    <w:p w:rsidR="002D424F" w:rsidRDefault="002D424F" w:rsidP="008C14DC">
      <w:pPr>
        <w:rPr>
          <w:rStyle w:val="Lienhypertexte"/>
        </w:rPr>
      </w:pPr>
    </w:p>
    <w:p w:rsidR="00960566" w:rsidRDefault="00960566" w:rsidP="00960566">
      <w:pPr>
        <w:pStyle w:val="Paragraphedeliste"/>
        <w:ind w:left="0"/>
        <w:jc w:val="both"/>
      </w:pPr>
      <w:r w:rsidRPr="00960566">
        <w:rPr>
          <w:rStyle w:val="Lienhypertexte"/>
          <w:b/>
          <w:color w:val="auto"/>
          <w:u w:val="none"/>
        </w:rPr>
        <w:t xml:space="preserve">Tuto pour les non bricoleurs : </w:t>
      </w:r>
    </w:p>
    <w:p w:rsidR="00960566" w:rsidRDefault="00960566" w:rsidP="00960566">
      <w:pPr>
        <w:pStyle w:val="Paragraphedeliste"/>
        <w:ind w:left="0"/>
        <w:jc w:val="both"/>
      </w:pPr>
      <w:hyperlink r:id="rId22" w:history="1">
        <w:r w:rsidRPr="005F72FA">
          <w:rPr>
            <w:rStyle w:val="Lienhypertexte"/>
          </w:rPr>
          <w:t>https://mamiesha.blogspot.com/2019/02/barricader-son-compteur-contre-linky.html?fbclid=IwAR0_4RPeA9y13Y8b6VSfeEQxxCNMB-LsPEFtNEBeimsxC-5eVK9rOLHvHt8</w:t>
        </w:r>
      </w:hyperlink>
    </w:p>
    <w:p w:rsidR="001E557C" w:rsidRDefault="002D424F" w:rsidP="008C14DC">
      <w:pPr>
        <w:rPr>
          <w:rStyle w:val="Lienhypertexte"/>
        </w:rPr>
      </w:pPr>
      <w:bookmarkStart w:id="0" w:name="_GoBack"/>
      <w:r>
        <w:rPr>
          <w:noProof/>
          <w:lang w:eastAsia="fr-FR"/>
        </w:rPr>
        <w:drawing>
          <wp:anchor distT="0" distB="0" distL="114300" distR="114300" simplePos="0" relativeHeight="251671552" behindDoc="1" locked="0" layoutInCell="1" allowOverlap="1" wp14:anchorId="658A626B" wp14:editId="08EE8A5A">
            <wp:simplePos x="0" y="0"/>
            <wp:positionH relativeFrom="column">
              <wp:posOffset>3208655</wp:posOffset>
            </wp:positionH>
            <wp:positionV relativeFrom="paragraph">
              <wp:posOffset>264160</wp:posOffset>
            </wp:positionV>
            <wp:extent cx="1274445" cy="2977515"/>
            <wp:effectExtent l="0" t="0" r="1905" b="0"/>
            <wp:wrapNone/>
            <wp:docPr id="12" name="Image 12"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e photo disponi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4445" cy="29775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C14DC" w:rsidRDefault="008C14DC" w:rsidP="008C14DC">
      <w:pPr>
        <w:rPr>
          <w:rStyle w:val="Lienhypertexte"/>
          <w:color w:val="000000" w:themeColor="text1"/>
          <w:u w:val="none"/>
        </w:rPr>
      </w:pPr>
    </w:p>
    <w:p w:rsidR="008C14DC" w:rsidRDefault="008C14DC" w:rsidP="008C14DC">
      <w:pPr>
        <w:rPr>
          <w:rStyle w:val="Lienhypertexte"/>
          <w:color w:val="000000" w:themeColor="text1"/>
          <w:u w:val="none"/>
        </w:rPr>
      </w:pPr>
    </w:p>
    <w:p w:rsidR="008C14DC" w:rsidRDefault="008C14DC" w:rsidP="008C14DC">
      <w:pPr>
        <w:rPr>
          <w:rStyle w:val="Lienhypertexte"/>
          <w:color w:val="000000" w:themeColor="text1"/>
          <w:u w:val="none"/>
        </w:rPr>
      </w:pPr>
    </w:p>
    <w:p w:rsidR="008C14DC" w:rsidRDefault="008C14DC" w:rsidP="008C14DC">
      <w:pPr>
        <w:rPr>
          <w:rStyle w:val="Lienhypertexte"/>
          <w:color w:val="000000" w:themeColor="text1"/>
          <w:u w:val="none"/>
        </w:rPr>
      </w:pPr>
    </w:p>
    <w:p w:rsidR="008C14DC" w:rsidRPr="00AE77DB" w:rsidRDefault="001E557C" w:rsidP="008C14DC">
      <w:pPr>
        <w:rPr>
          <w:b/>
          <w:color w:val="000000" w:themeColor="text1"/>
        </w:rPr>
      </w:pPr>
      <w:r w:rsidRPr="00AE77DB">
        <w:rPr>
          <w:rStyle w:val="Lienhypertexte"/>
          <w:b/>
          <w:color w:val="000000" w:themeColor="text1"/>
          <w:u w:val="none"/>
        </w:rPr>
        <w:t>On peut reboucher avec de la pâ</w:t>
      </w:r>
      <w:r w:rsidR="008C14DC" w:rsidRPr="00AE77DB">
        <w:rPr>
          <w:rStyle w:val="Lienhypertexte"/>
          <w:b/>
          <w:color w:val="000000" w:themeColor="text1"/>
          <w:u w:val="none"/>
        </w:rPr>
        <w:t>te…</w:t>
      </w:r>
    </w:p>
    <w:p w:rsidR="008C14DC" w:rsidRDefault="008C14DC" w:rsidP="008C14DC"/>
    <w:p w:rsidR="008C14DC" w:rsidRDefault="008C14DC" w:rsidP="008C14DC">
      <w:pPr>
        <w:jc w:val="right"/>
      </w:pPr>
    </w:p>
    <w:p w:rsidR="00CD439D" w:rsidRDefault="00CD439D" w:rsidP="008C14DC">
      <w:pPr>
        <w:jc w:val="right"/>
      </w:pPr>
    </w:p>
    <w:p w:rsidR="00CD439D" w:rsidRDefault="00CD439D" w:rsidP="008C14DC">
      <w:pPr>
        <w:jc w:val="right"/>
      </w:pPr>
    </w:p>
    <w:p w:rsidR="00CD439D" w:rsidRDefault="00CD439D" w:rsidP="008C14DC">
      <w:pPr>
        <w:jc w:val="right"/>
      </w:pPr>
    </w:p>
    <w:p w:rsidR="00CD439D" w:rsidRDefault="00CD439D" w:rsidP="008C14DC">
      <w:pPr>
        <w:jc w:val="right"/>
      </w:pPr>
    </w:p>
    <w:p w:rsidR="00CD439D" w:rsidRDefault="00CD439D" w:rsidP="008C14DC">
      <w:pPr>
        <w:jc w:val="right"/>
      </w:pPr>
    </w:p>
    <w:p w:rsidR="00CD439D" w:rsidRDefault="00CD439D" w:rsidP="008C14DC">
      <w:pPr>
        <w:jc w:val="right"/>
      </w:pPr>
    </w:p>
    <w:p w:rsidR="0071027B" w:rsidRDefault="0071027B" w:rsidP="0071027B">
      <w:pPr>
        <w:rPr>
          <w:sz w:val="32"/>
          <w:szCs w:val="32"/>
        </w:rPr>
      </w:pPr>
    </w:p>
    <w:p w:rsidR="0071027B" w:rsidRDefault="0071027B" w:rsidP="0071027B">
      <w:pPr>
        <w:rPr>
          <w:sz w:val="32"/>
          <w:szCs w:val="32"/>
        </w:rPr>
      </w:pPr>
    </w:p>
    <w:p w:rsidR="0071027B" w:rsidRDefault="0071027B" w:rsidP="0071027B">
      <w:pPr>
        <w:rPr>
          <w:sz w:val="32"/>
          <w:szCs w:val="32"/>
        </w:rPr>
      </w:pPr>
    </w:p>
    <w:p w:rsidR="0071027B" w:rsidRPr="0071027B" w:rsidRDefault="0071027B" w:rsidP="0071027B">
      <w:pPr>
        <w:rPr>
          <w:b/>
          <w:sz w:val="28"/>
          <w:szCs w:val="28"/>
        </w:rPr>
      </w:pPr>
      <w:r w:rsidRPr="0071027B">
        <w:rPr>
          <w:b/>
          <w:sz w:val="28"/>
          <w:szCs w:val="28"/>
        </w:rPr>
        <w:t>Procédure :</w:t>
      </w:r>
    </w:p>
    <w:p w:rsidR="0071027B" w:rsidRDefault="0071027B" w:rsidP="0071027B">
      <w:pPr>
        <w:ind w:right="-426"/>
        <w:rPr>
          <w:sz w:val="28"/>
          <w:szCs w:val="28"/>
        </w:rPr>
      </w:pPr>
      <w:r>
        <w:rPr>
          <w:sz w:val="28"/>
          <w:szCs w:val="28"/>
        </w:rPr>
        <w:t>Prendre des photos de votre compteur avant de le barricader ou de le cadenasser !</w:t>
      </w:r>
    </w:p>
    <w:p w:rsidR="0071027B" w:rsidRDefault="0071027B" w:rsidP="0071027B">
      <w:pPr>
        <w:pStyle w:val="Paragraphedeliste"/>
        <w:numPr>
          <w:ilvl w:val="0"/>
          <w:numId w:val="1"/>
        </w:numPr>
        <w:rPr>
          <w:rStyle w:val="textexposedshow"/>
        </w:rPr>
      </w:pPr>
      <w:r>
        <w:rPr>
          <w:rStyle w:val="textexposedshow"/>
        </w:rPr>
        <w:t xml:space="preserve">    Prendre en photo votre compteur, avec les plombs bien visibles. </w:t>
      </w:r>
    </w:p>
    <w:p w:rsidR="0071027B" w:rsidRDefault="0071027B" w:rsidP="0071027B">
      <w:pPr>
        <w:pStyle w:val="Paragraphedeliste"/>
        <w:numPr>
          <w:ilvl w:val="0"/>
          <w:numId w:val="1"/>
        </w:numPr>
        <w:rPr>
          <w:rStyle w:val="textexposedshow"/>
        </w:rPr>
      </w:pPr>
      <w:r>
        <w:rPr>
          <w:rStyle w:val="textexposedshow"/>
        </w:rPr>
        <w:t xml:space="preserve">    Photo horodatée ou mettre un journal du jour </w:t>
      </w:r>
    </w:p>
    <w:p w:rsidR="0071027B" w:rsidRDefault="0071027B" w:rsidP="0071027B">
      <w:pPr>
        <w:rPr>
          <w:rStyle w:val="textexposedshow"/>
        </w:rPr>
      </w:pPr>
      <w:r>
        <w:br/>
      </w:r>
      <w:r w:rsidRPr="004B43B4">
        <w:rPr>
          <w:rStyle w:val="textexposedshow"/>
          <w:sz w:val="28"/>
          <w:szCs w:val="28"/>
        </w:rPr>
        <w:t>Barricader le compteur</w:t>
      </w:r>
      <w:r>
        <w:rPr>
          <w:rStyle w:val="textexposedshow"/>
        </w:rPr>
        <w:t>.</w:t>
      </w:r>
    </w:p>
    <w:p w:rsidR="0071027B" w:rsidRDefault="0071027B" w:rsidP="0071027B">
      <w:pPr>
        <w:rPr>
          <w:rStyle w:val="textexposedshow"/>
        </w:rPr>
      </w:pPr>
      <w:r>
        <w:rPr>
          <w:rStyle w:val="textexposedshow"/>
        </w:rPr>
        <w:t xml:space="preserve">                </w:t>
      </w:r>
    </w:p>
    <w:p w:rsidR="0071027B" w:rsidRDefault="0071027B" w:rsidP="0071027B">
      <w:pPr>
        <w:ind w:right="-284"/>
        <w:rPr>
          <w:rStyle w:val="textexposedshow"/>
        </w:rPr>
      </w:pPr>
      <w:r w:rsidRPr="0071027B">
        <w:rPr>
          <w:rStyle w:val="textexposedshow"/>
          <w:sz w:val="28"/>
          <w:szCs w:val="28"/>
        </w:rPr>
        <w:t>Coller une affichette</w:t>
      </w:r>
      <w:r>
        <w:rPr>
          <w:rStyle w:val="textexposedshow"/>
        </w:rPr>
        <w:t xml:space="preserve"> sur le boitier du compteur. (</w:t>
      </w:r>
      <w:proofErr w:type="gramStart"/>
      <w:r>
        <w:rPr>
          <w:rStyle w:val="textexposedshow"/>
        </w:rPr>
        <w:t>voir</w:t>
      </w:r>
      <w:proofErr w:type="gramEnd"/>
      <w:r>
        <w:rPr>
          <w:rStyle w:val="textexposedshow"/>
        </w:rPr>
        <w:t xml:space="preserve"> modèle ci-dessous) Vous aurez préalablement collé dessus la photocopie du récépissé de votre RAR. Ne pas laisser les originaux sur le compteur.</w:t>
      </w:r>
    </w:p>
    <w:p w:rsidR="0071027B" w:rsidRPr="00A0550E" w:rsidRDefault="0071027B" w:rsidP="0071027B">
      <w:pPr>
        <w:ind w:right="-284"/>
      </w:pPr>
      <w:r>
        <w:rPr>
          <w:rStyle w:val="textexposedshow"/>
        </w:rPr>
        <w:t>Glissez le tout dans une pochette plastique contre la pluie.</w:t>
      </w:r>
    </w:p>
    <w:p w:rsidR="0071027B" w:rsidRDefault="0071027B" w:rsidP="0071027B">
      <w:r w:rsidRPr="0071027B">
        <w:t>Quand vous avez cadenassé  le boitier de votre compteur, le relevé n’est plus possible. (</w:t>
      </w:r>
      <w:proofErr w:type="gramStart"/>
      <w:r w:rsidRPr="0071027B">
        <w:t>sauf</w:t>
      </w:r>
      <w:proofErr w:type="gramEnd"/>
      <w:r w:rsidRPr="0071027B">
        <w:t xml:space="preserve"> si une fenêtre est aménagée sur le boitier) Vous devez donc proposer une prise de RV pour le relevé.</w:t>
      </w:r>
    </w:p>
    <w:p w:rsidR="00960566" w:rsidRDefault="00960566" w:rsidP="0071027B"/>
    <w:p w:rsidR="0071027B" w:rsidRDefault="0071027B" w:rsidP="008C14DC">
      <w:pPr>
        <w:jc w:val="right"/>
      </w:pPr>
    </w:p>
    <w:p w:rsidR="00CD439D" w:rsidRDefault="00CD439D" w:rsidP="008C14DC">
      <w:pPr>
        <w:jc w:val="right"/>
      </w:pPr>
    </w:p>
    <w:p w:rsidR="0071027B" w:rsidRDefault="0071027B" w:rsidP="008C14DC">
      <w:pPr>
        <w:jc w:val="right"/>
      </w:pPr>
    </w:p>
    <w:p w:rsidR="0071027B" w:rsidRDefault="0071027B" w:rsidP="008C14DC">
      <w:pPr>
        <w:jc w:val="right"/>
      </w:pPr>
    </w:p>
    <w:p w:rsidR="0071027B" w:rsidRDefault="0071027B" w:rsidP="008C14DC">
      <w:pPr>
        <w:jc w:val="right"/>
      </w:pPr>
    </w:p>
    <w:p w:rsidR="0071027B" w:rsidRDefault="0071027B" w:rsidP="008C14DC">
      <w:pPr>
        <w:jc w:val="right"/>
      </w:pPr>
    </w:p>
    <w:p w:rsidR="00CD439D" w:rsidRDefault="00CD439D" w:rsidP="008C14DC">
      <w:pPr>
        <w:jc w:val="right"/>
      </w:pPr>
    </w:p>
    <w:p w:rsidR="0071027B" w:rsidRDefault="0071027B" w:rsidP="008C14DC">
      <w:pPr>
        <w:jc w:val="right"/>
      </w:pPr>
    </w:p>
    <w:p w:rsidR="0071027B" w:rsidRDefault="0071027B" w:rsidP="008C14DC">
      <w:pPr>
        <w:jc w:val="right"/>
      </w:pPr>
    </w:p>
    <w:p w:rsidR="0071027B" w:rsidRDefault="0071027B" w:rsidP="008C14DC">
      <w:pPr>
        <w:jc w:val="right"/>
      </w:pPr>
    </w:p>
    <w:p w:rsidR="0071027B" w:rsidRDefault="0071027B" w:rsidP="008C14DC">
      <w:pPr>
        <w:jc w:val="right"/>
      </w:pPr>
    </w:p>
    <w:p w:rsidR="0071027B" w:rsidRDefault="0071027B" w:rsidP="008C14DC">
      <w:pPr>
        <w:jc w:val="right"/>
      </w:pPr>
    </w:p>
    <w:p w:rsidR="0071027B" w:rsidRDefault="0071027B" w:rsidP="008C14DC">
      <w:pPr>
        <w:jc w:val="right"/>
      </w:pPr>
    </w:p>
    <w:p w:rsidR="0071027B" w:rsidRDefault="0071027B" w:rsidP="00CD439D">
      <w:pPr>
        <w:rPr>
          <w:b/>
          <w:sz w:val="56"/>
          <w:szCs w:val="56"/>
        </w:rPr>
      </w:pPr>
    </w:p>
    <w:p w:rsidR="0071027B" w:rsidRDefault="0071027B" w:rsidP="00CD439D">
      <w:pPr>
        <w:rPr>
          <w:b/>
          <w:sz w:val="56"/>
          <w:szCs w:val="56"/>
        </w:rPr>
      </w:pPr>
    </w:p>
    <w:p w:rsidR="0071027B" w:rsidRDefault="0071027B" w:rsidP="00CD439D">
      <w:pPr>
        <w:rPr>
          <w:b/>
          <w:sz w:val="56"/>
          <w:szCs w:val="56"/>
        </w:rPr>
      </w:pPr>
      <w:r>
        <w:rPr>
          <w:b/>
          <w:sz w:val="56"/>
          <w:szCs w:val="56"/>
        </w:rPr>
        <w:t xml:space="preserve">    </w:t>
      </w:r>
    </w:p>
    <w:p w:rsidR="00CD439D" w:rsidRPr="00A87432" w:rsidRDefault="00CD439D" w:rsidP="00CD439D">
      <w:pPr>
        <w:rPr>
          <w:b/>
          <w:sz w:val="56"/>
          <w:szCs w:val="56"/>
        </w:rPr>
      </w:pPr>
      <w:r>
        <w:rPr>
          <w:b/>
          <w:sz w:val="56"/>
          <w:szCs w:val="56"/>
        </w:rPr>
        <w:t xml:space="preserve">    Nous refusons le compteur LINKY</w:t>
      </w:r>
    </w:p>
    <w:p w:rsidR="00CD439D" w:rsidRPr="002A7251" w:rsidRDefault="00CD439D" w:rsidP="00CD439D">
      <w:pPr>
        <w:jc w:val="center"/>
        <w:rPr>
          <w:b/>
          <w:sz w:val="48"/>
          <w:szCs w:val="48"/>
        </w:rPr>
      </w:pPr>
      <w:r>
        <w:rPr>
          <w:b/>
          <w:noProof/>
          <w:sz w:val="48"/>
          <w:szCs w:val="48"/>
          <w:lang w:eastAsia="fr-FR"/>
        </w:rPr>
        <w:drawing>
          <wp:anchor distT="0" distB="0" distL="114300" distR="114300" simplePos="0" relativeHeight="251668480" behindDoc="0" locked="0" layoutInCell="1" allowOverlap="1" wp14:anchorId="2D7BF90A" wp14:editId="080DBB85">
            <wp:simplePos x="0" y="0"/>
            <wp:positionH relativeFrom="column">
              <wp:posOffset>-180340</wp:posOffset>
            </wp:positionH>
            <wp:positionV relativeFrom="paragraph">
              <wp:posOffset>12700</wp:posOffset>
            </wp:positionV>
            <wp:extent cx="6210300" cy="1789430"/>
            <wp:effectExtent l="0" t="0" r="0" b="127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3.PNG"/>
                    <pic:cNvPicPr/>
                  </pic:nvPicPr>
                  <pic:blipFill>
                    <a:blip r:embed="rId24">
                      <a:extLst>
                        <a:ext uri="{28A0092B-C50C-407E-A947-70E740481C1C}">
                          <a14:useLocalDpi xmlns:a14="http://schemas.microsoft.com/office/drawing/2010/main" val="0"/>
                        </a:ext>
                      </a:extLst>
                    </a:blip>
                    <a:stretch>
                      <a:fillRect/>
                    </a:stretch>
                  </pic:blipFill>
                  <pic:spPr>
                    <a:xfrm>
                      <a:off x="0" y="0"/>
                      <a:ext cx="6210300" cy="1789430"/>
                    </a:xfrm>
                    <a:prstGeom prst="rect">
                      <a:avLst/>
                    </a:prstGeom>
                  </pic:spPr>
                </pic:pic>
              </a:graphicData>
            </a:graphic>
            <wp14:sizeRelH relativeFrom="page">
              <wp14:pctWidth>0</wp14:pctWidth>
            </wp14:sizeRelH>
            <wp14:sizeRelV relativeFrom="page">
              <wp14:pctHeight>0</wp14:pctHeight>
            </wp14:sizeRelV>
          </wp:anchor>
        </w:drawing>
      </w:r>
    </w:p>
    <w:p w:rsidR="00CD439D" w:rsidRPr="002A7251" w:rsidRDefault="00CD439D" w:rsidP="00CD439D">
      <w:pPr>
        <w:jc w:val="center"/>
        <w:rPr>
          <w:b/>
          <w:sz w:val="56"/>
          <w:szCs w:val="56"/>
        </w:rPr>
      </w:pPr>
      <w:r>
        <w:rPr>
          <w:b/>
          <w:sz w:val="56"/>
          <w:szCs w:val="56"/>
        </w:rPr>
        <w:t xml:space="preserve">      Destru</w:t>
      </w:r>
      <w:r w:rsidRPr="002A7251">
        <w:rPr>
          <w:b/>
          <w:sz w:val="56"/>
          <w:szCs w:val="56"/>
        </w:rPr>
        <w:t xml:space="preserve">ction du boitier interdite </w:t>
      </w:r>
      <w:r>
        <w:rPr>
          <w:b/>
          <w:sz w:val="56"/>
          <w:szCs w:val="56"/>
        </w:rPr>
        <w:t xml:space="preserve">       </w:t>
      </w:r>
      <w:proofErr w:type="spellStart"/>
      <w:r>
        <w:rPr>
          <w:b/>
          <w:sz w:val="56"/>
          <w:szCs w:val="56"/>
        </w:rPr>
        <w:t>sous</w:t>
      </w:r>
      <w:r w:rsidRPr="002A7251">
        <w:rPr>
          <w:b/>
          <w:sz w:val="56"/>
          <w:szCs w:val="56"/>
        </w:rPr>
        <w:t>peine</w:t>
      </w:r>
      <w:proofErr w:type="spellEnd"/>
      <w:r w:rsidRPr="002A7251">
        <w:rPr>
          <w:b/>
          <w:sz w:val="56"/>
          <w:szCs w:val="56"/>
        </w:rPr>
        <w:t xml:space="preserve"> de poursuites.</w:t>
      </w:r>
    </w:p>
    <w:p w:rsidR="00CD439D" w:rsidRDefault="00CD439D" w:rsidP="00CD439D">
      <w:pPr>
        <w:jc w:val="center"/>
        <w:rPr>
          <w:b/>
          <w:sz w:val="44"/>
          <w:szCs w:val="44"/>
        </w:rPr>
      </w:pPr>
    </w:p>
    <w:p w:rsidR="00CD439D" w:rsidRPr="002A7251" w:rsidRDefault="00CD439D" w:rsidP="008061E9">
      <w:pPr>
        <w:ind w:right="284"/>
        <w:jc w:val="center"/>
        <w:rPr>
          <w:b/>
          <w:sz w:val="44"/>
          <w:szCs w:val="44"/>
        </w:rPr>
      </w:pPr>
      <w:r w:rsidRPr="00BF510C">
        <w:rPr>
          <w:b/>
          <w:sz w:val="44"/>
          <w:szCs w:val="44"/>
        </w:rPr>
        <w:t xml:space="preserve">Le compteur appartient aux collectivités territoriales mais le boitier nous appartient ainsi que le matériel qui le protège (chaines, cadenas…) </w:t>
      </w:r>
    </w:p>
    <w:p w:rsidR="00CD439D" w:rsidRPr="005652CF" w:rsidRDefault="00CD439D" w:rsidP="008061E9">
      <w:pPr>
        <w:ind w:right="426"/>
        <w:jc w:val="center"/>
        <w:rPr>
          <w:b/>
          <w:sz w:val="44"/>
          <w:szCs w:val="44"/>
        </w:rPr>
      </w:pPr>
      <w:r w:rsidRPr="005652CF">
        <w:rPr>
          <w:b/>
          <w:sz w:val="44"/>
          <w:szCs w:val="44"/>
        </w:rPr>
        <w:t xml:space="preserve">Le contrôle du compteur ne pourra se faire que </w:t>
      </w:r>
      <w:r w:rsidR="008061E9">
        <w:rPr>
          <w:b/>
          <w:sz w:val="44"/>
          <w:szCs w:val="44"/>
        </w:rPr>
        <w:t xml:space="preserve">      </w:t>
      </w:r>
      <w:r w:rsidRPr="005652CF">
        <w:rPr>
          <w:b/>
          <w:sz w:val="44"/>
          <w:szCs w:val="44"/>
        </w:rPr>
        <w:t>sur RV, et en notre présence.</w:t>
      </w:r>
    </w:p>
    <w:p w:rsidR="00CD439D" w:rsidRDefault="00CD439D" w:rsidP="00CD439D">
      <w:pPr>
        <w:jc w:val="center"/>
        <w:rPr>
          <w:b/>
          <w:sz w:val="36"/>
          <w:szCs w:val="36"/>
        </w:rPr>
      </w:pPr>
      <w:r w:rsidRPr="002A7251">
        <w:rPr>
          <w:b/>
          <w:sz w:val="36"/>
          <w:szCs w:val="36"/>
        </w:rPr>
        <w:t>Les propriétaires</w:t>
      </w:r>
    </w:p>
    <w:tbl>
      <w:tblPr>
        <w:tblStyle w:val="Grilledutableau"/>
        <w:tblW w:w="0" w:type="auto"/>
        <w:tblLook w:val="04A0" w:firstRow="1" w:lastRow="0" w:firstColumn="1" w:lastColumn="0" w:noHBand="0" w:noVBand="1"/>
      </w:tblPr>
      <w:tblGrid>
        <w:gridCol w:w="10347"/>
      </w:tblGrid>
      <w:tr w:rsidR="00A87ECB" w:rsidTr="00A87ECB">
        <w:tc>
          <w:tcPr>
            <w:tcW w:w="10347" w:type="dxa"/>
          </w:tcPr>
          <w:p w:rsidR="00A87ECB" w:rsidRDefault="00A87ECB" w:rsidP="00CD439D">
            <w:pPr>
              <w:jc w:val="center"/>
              <w:rPr>
                <w:b/>
                <w:sz w:val="36"/>
                <w:szCs w:val="36"/>
              </w:rPr>
            </w:pPr>
          </w:p>
          <w:p w:rsidR="00A87ECB" w:rsidRDefault="00A87ECB" w:rsidP="00CD439D">
            <w:pPr>
              <w:jc w:val="center"/>
              <w:rPr>
                <w:b/>
                <w:sz w:val="36"/>
                <w:szCs w:val="36"/>
              </w:rPr>
            </w:pPr>
          </w:p>
          <w:p w:rsidR="008061E9" w:rsidRDefault="008061E9" w:rsidP="00CD439D">
            <w:pPr>
              <w:jc w:val="center"/>
              <w:rPr>
                <w:b/>
                <w:sz w:val="36"/>
                <w:szCs w:val="36"/>
              </w:rPr>
            </w:pPr>
          </w:p>
          <w:p w:rsidR="008061E9" w:rsidRDefault="008061E9" w:rsidP="00CD439D">
            <w:pPr>
              <w:jc w:val="center"/>
              <w:rPr>
                <w:b/>
                <w:sz w:val="36"/>
                <w:szCs w:val="36"/>
              </w:rPr>
            </w:pPr>
          </w:p>
          <w:p w:rsidR="008061E9" w:rsidRDefault="008061E9" w:rsidP="00CD439D">
            <w:pPr>
              <w:jc w:val="center"/>
              <w:rPr>
                <w:b/>
                <w:sz w:val="36"/>
                <w:szCs w:val="36"/>
              </w:rPr>
            </w:pPr>
          </w:p>
          <w:p w:rsidR="00A87ECB" w:rsidRDefault="008061E9" w:rsidP="00CD439D">
            <w:pPr>
              <w:jc w:val="center"/>
              <w:rPr>
                <w:b/>
                <w:sz w:val="36"/>
                <w:szCs w:val="36"/>
              </w:rPr>
            </w:pPr>
            <w:r>
              <w:rPr>
                <w:b/>
                <w:sz w:val="36"/>
                <w:szCs w:val="36"/>
              </w:rPr>
              <w:t xml:space="preserve">Coller ici la photocopie du récépissé de votre RAR à </w:t>
            </w:r>
            <w:proofErr w:type="spellStart"/>
            <w:r>
              <w:rPr>
                <w:b/>
                <w:sz w:val="36"/>
                <w:szCs w:val="36"/>
              </w:rPr>
              <w:t>enedis</w:t>
            </w:r>
            <w:proofErr w:type="spellEnd"/>
          </w:p>
          <w:p w:rsidR="00A87ECB" w:rsidRDefault="00A87ECB" w:rsidP="00CD439D">
            <w:pPr>
              <w:jc w:val="center"/>
              <w:rPr>
                <w:b/>
                <w:sz w:val="36"/>
                <w:szCs w:val="36"/>
              </w:rPr>
            </w:pPr>
          </w:p>
          <w:p w:rsidR="00A87ECB" w:rsidRDefault="00A87ECB" w:rsidP="00CD439D">
            <w:pPr>
              <w:jc w:val="center"/>
              <w:rPr>
                <w:b/>
                <w:sz w:val="36"/>
                <w:szCs w:val="36"/>
              </w:rPr>
            </w:pPr>
          </w:p>
          <w:p w:rsidR="00A87ECB" w:rsidRDefault="00A87ECB" w:rsidP="00CD439D">
            <w:pPr>
              <w:jc w:val="center"/>
              <w:rPr>
                <w:b/>
                <w:sz w:val="36"/>
                <w:szCs w:val="36"/>
              </w:rPr>
            </w:pPr>
          </w:p>
          <w:p w:rsidR="00A87ECB" w:rsidRDefault="00A87ECB" w:rsidP="00CD439D">
            <w:pPr>
              <w:jc w:val="center"/>
              <w:rPr>
                <w:b/>
                <w:sz w:val="36"/>
                <w:szCs w:val="36"/>
              </w:rPr>
            </w:pPr>
          </w:p>
          <w:p w:rsidR="00A87ECB" w:rsidRDefault="00A87ECB" w:rsidP="00CD439D">
            <w:pPr>
              <w:jc w:val="center"/>
              <w:rPr>
                <w:b/>
                <w:sz w:val="36"/>
                <w:szCs w:val="36"/>
              </w:rPr>
            </w:pPr>
          </w:p>
          <w:p w:rsidR="00A87ECB" w:rsidRDefault="00A87ECB" w:rsidP="00CD439D">
            <w:pPr>
              <w:jc w:val="center"/>
              <w:rPr>
                <w:b/>
                <w:sz w:val="36"/>
                <w:szCs w:val="36"/>
              </w:rPr>
            </w:pPr>
          </w:p>
          <w:p w:rsidR="00A87ECB" w:rsidRDefault="00A87ECB" w:rsidP="008061E9">
            <w:pPr>
              <w:ind w:right="208"/>
              <w:jc w:val="center"/>
              <w:rPr>
                <w:b/>
                <w:sz w:val="36"/>
                <w:szCs w:val="36"/>
              </w:rPr>
            </w:pPr>
          </w:p>
        </w:tc>
      </w:tr>
    </w:tbl>
    <w:p w:rsidR="00A87ECB" w:rsidRPr="002A7251" w:rsidRDefault="00A87ECB" w:rsidP="00CD439D">
      <w:pPr>
        <w:jc w:val="center"/>
        <w:rPr>
          <w:b/>
          <w:sz w:val="36"/>
          <w:szCs w:val="36"/>
        </w:rPr>
      </w:pPr>
    </w:p>
    <w:p w:rsidR="00CD439D" w:rsidRPr="008C14DC" w:rsidRDefault="00CD439D" w:rsidP="00CD439D"/>
    <w:sectPr w:rsidR="00CD439D" w:rsidRPr="008C14DC" w:rsidSect="00D54470">
      <w:pgSz w:w="11906" w:h="16838"/>
      <w:pgMar w:top="284" w:right="282"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2646AC"/>
    <w:multiLevelType w:val="hybridMultilevel"/>
    <w:tmpl w:val="D21E412C"/>
    <w:lvl w:ilvl="0" w:tplc="CFF8EE12">
      <w:numFmt w:val="bullet"/>
      <w:lvlText w:val="-"/>
      <w:lvlJc w:val="left"/>
      <w:pPr>
        <w:ind w:left="500" w:hanging="360"/>
      </w:pPr>
      <w:rPr>
        <w:rFonts w:ascii="Calibri" w:eastAsia="Times New Roman" w:hAnsi="Calibri" w:cs="Calibri" w:hint="default"/>
      </w:rPr>
    </w:lvl>
    <w:lvl w:ilvl="1" w:tplc="040C0003" w:tentative="1">
      <w:start w:val="1"/>
      <w:numFmt w:val="bullet"/>
      <w:lvlText w:val="o"/>
      <w:lvlJc w:val="left"/>
      <w:pPr>
        <w:ind w:left="1220" w:hanging="360"/>
      </w:pPr>
      <w:rPr>
        <w:rFonts w:ascii="Courier New" w:hAnsi="Courier New" w:cs="Courier New" w:hint="default"/>
      </w:rPr>
    </w:lvl>
    <w:lvl w:ilvl="2" w:tplc="040C0005" w:tentative="1">
      <w:start w:val="1"/>
      <w:numFmt w:val="bullet"/>
      <w:lvlText w:val=""/>
      <w:lvlJc w:val="left"/>
      <w:pPr>
        <w:ind w:left="1940" w:hanging="360"/>
      </w:pPr>
      <w:rPr>
        <w:rFonts w:ascii="Wingdings" w:hAnsi="Wingdings" w:hint="default"/>
      </w:rPr>
    </w:lvl>
    <w:lvl w:ilvl="3" w:tplc="040C0001" w:tentative="1">
      <w:start w:val="1"/>
      <w:numFmt w:val="bullet"/>
      <w:lvlText w:val=""/>
      <w:lvlJc w:val="left"/>
      <w:pPr>
        <w:ind w:left="2660" w:hanging="360"/>
      </w:pPr>
      <w:rPr>
        <w:rFonts w:ascii="Symbol" w:hAnsi="Symbol" w:hint="default"/>
      </w:rPr>
    </w:lvl>
    <w:lvl w:ilvl="4" w:tplc="040C0003" w:tentative="1">
      <w:start w:val="1"/>
      <w:numFmt w:val="bullet"/>
      <w:lvlText w:val="o"/>
      <w:lvlJc w:val="left"/>
      <w:pPr>
        <w:ind w:left="3380" w:hanging="360"/>
      </w:pPr>
      <w:rPr>
        <w:rFonts w:ascii="Courier New" w:hAnsi="Courier New" w:cs="Courier New" w:hint="default"/>
      </w:rPr>
    </w:lvl>
    <w:lvl w:ilvl="5" w:tplc="040C0005" w:tentative="1">
      <w:start w:val="1"/>
      <w:numFmt w:val="bullet"/>
      <w:lvlText w:val=""/>
      <w:lvlJc w:val="left"/>
      <w:pPr>
        <w:ind w:left="4100" w:hanging="360"/>
      </w:pPr>
      <w:rPr>
        <w:rFonts w:ascii="Wingdings" w:hAnsi="Wingdings" w:hint="default"/>
      </w:rPr>
    </w:lvl>
    <w:lvl w:ilvl="6" w:tplc="040C0001" w:tentative="1">
      <w:start w:val="1"/>
      <w:numFmt w:val="bullet"/>
      <w:lvlText w:val=""/>
      <w:lvlJc w:val="left"/>
      <w:pPr>
        <w:ind w:left="4820" w:hanging="360"/>
      </w:pPr>
      <w:rPr>
        <w:rFonts w:ascii="Symbol" w:hAnsi="Symbol" w:hint="default"/>
      </w:rPr>
    </w:lvl>
    <w:lvl w:ilvl="7" w:tplc="040C0003" w:tentative="1">
      <w:start w:val="1"/>
      <w:numFmt w:val="bullet"/>
      <w:lvlText w:val="o"/>
      <w:lvlJc w:val="left"/>
      <w:pPr>
        <w:ind w:left="5540" w:hanging="360"/>
      </w:pPr>
      <w:rPr>
        <w:rFonts w:ascii="Courier New" w:hAnsi="Courier New" w:cs="Courier New" w:hint="default"/>
      </w:rPr>
    </w:lvl>
    <w:lvl w:ilvl="8" w:tplc="040C0005" w:tentative="1">
      <w:start w:val="1"/>
      <w:numFmt w:val="bullet"/>
      <w:lvlText w:val=""/>
      <w:lvlJc w:val="left"/>
      <w:pPr>
        <w:ind w:left="62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E92"/>
    <w:rsid w:val="0006275D"/>
    <w:rsid w:val="00080B18"/>
    <w:rsid w:val="000844E1"/>
    <w:rsid w:val="0016530E"/>
    <w:rsid w:val="00165772"/>
    <w:rsid w:val="0016689D"/>
    <w:rsid w:val="001B1C67"/>
    <w:rsid w:val="001E557C"/>
    <w:rsid w:val="00246199"/>
    <w:rsid w:val="002D424F"/>
    <w:rsid w:val="002F6835"/>
    <w:rsid w:val="00331077"/>
    <w:rsid w:val="005B10F8"/>
    <w:rsid w:val="005D374B"/>
    <w:rsid w:val="00694B21"/>
    <w:rsid w:val="006E0AD6"/>
    <w:rsid w:val="0071027B"/>
    <w:rsid w:val="00736106"/>
    <w:rsid w:val="0080595D"/>
    <w:rsid w:val="008061E9"/>
    <w:rsid w:val="00823941"/>
    <w:rsid w:val="008B57C1"/>
    <w:rsid w:val="008C14DC"/>
    <w:rsid w:val="009031B1"/>
    <w:rsid w:val="00960566"/>
    <w:rsid w:val="009A3954"/>
    <w:rsid w:val="009A5232"/>
    <w:rsid w:val="00A87ECB"/>
    <w:rsid w:val="00AE77DB"/>
    <w:rsid w:val="00B075E1"/>
    <w:rsid w:val="00B13C29"/>
    <w:rsid w:val="00BC2BD3"/>
    <w:rsid w:val="00BF50E9"/>
    <w:rsid w:val="00C65AC1"/>
    <w:rsid w:val="00CD439D"/>
    <w:rsid w:val="00CE05D1"/>
    <w:rsid w:val="00D54470"/>
    <w:rsid w:val="00E12CF6"/>
    <w:rsid w:val="00E50A1E"/>
    <w:rsid w:val="00E76E92"/>
    <w:rsid w:val="00EF4A99"/>
    <w:rsid w:val="00F203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76E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6E92"/>
    <w:rPr>
      <w:rFonts w:ascii="Tahoma" w:hAnsi="Tahoma" w:cs="Tahoma"/>
      <w:sz w:val="16"/>
      <w:szCs w:val="16"/>
    </w:rPr>
  </w:style>
  <w:style w:type="character" w:styleId="Lienhypertexte">
    <w:name w:val="Hyperlink"/>
    <w:basedOn w:val="Policepardfaut"/>
    <w:uiPriority w:val="99"/>
    <w:unhideWhenUsed/>
    <w:rsid w:val="00B13C29"/>
    <w:rPr>
      <w:color w:val="0000FF" w:themeColor="hyperlink"/>
      <w:u w:val="single"/>
    </w:rPr>
  </w:style>
  <w:style w:type="paragraph" w:styleId="Paragraphedeliste">
    <w:name w:val="List Paragraph"/>
    <w:basedOn w:val="Normal"/>
    <w:uiPriority w:val="34"/>
    <w:qFormat/>
    <w:rsid w:val="00C65AC1"/>
    <w:pPr>
      <w:ind w:left="720"/>
      <w:contextualSpacing/>
    </w:pPr>
  </w:style>
  <w:style w:type="character" w:styleId="Lienhypertextesuivivisit">
    <w:name w:val="FollowedHyperlink"/>
    <w:basedOn w:val="Policepardfaut"/>
    <w:uiPriority w:val="99"/>
    <w:semiHidden/>
    <w:unhideWhenUsed/>
    <w:rsid w:val="001E557C"/>
    <w:rPr>
      <w:color w:val="800080" w:themeColor="followedHyperlink"/>
      <w:u w:val="single"/>
    </w:rPr>
  </w:style>
  <w:style w:type="table" w:styleId="Grilledutableau">
    <w:name w:val="Table Grid"/>
    <w:basedOn w:val="TableauNormal"/>
    <w:uiPriority w:val="59"/>
    <w:rsid w:val="00A87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Policepardfaut"/>
    <w:rsid w:val="007102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76E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6E92"/>
    <w:rPr>
      <w:rFonts w:ascii="Tahoma" w:hAnsi="Tahoma" w:cs="Tahoma"/>
      <w:sz w:val="16"/>
      <w:szCs w:val="16"/>
    </w:rPr>
  </w:style>
  <w:style w:type="character" w:styleId="Lienhypertexte">
    <w:name w:val="Hyperlink"/>
    <w:basedOn w:val="Policepardfaut"/>
    <w:uiPriority w:val="99"/>
    <w:unhideWhenUsed/>
    <w:rsid w:val="00B13C29"/>
    <w:rPr>
      <w:color w:val="0000FF" w:themeColor="hyperlink"/>
      <w:u w:val="single"/>
    </w:rPr>
  </w:style>
  <w:style w:type="paragraph" w:styleId="Paragraphedeliste">
    <w:name w:val="List Paragraph"/>
    <w:basedOn w:val="Normal"/>
    <w:uiPriority w:val="34"/>
    <w:qFormat/>
    <w:rsid w:val="00C65AC1"/>
    <w:pPr>
      <w:ind w:left="720"/>
      <w:contextualSpacing/>
    </w:pPr>
  </w:style>
  <w:style w:type="character" w:styleId="Lienhypertextesuivivisit">
    <w:name w:val="FollowedHyperlink"/>
    <w:basedOn w:val="Policepardfaut"/>
    <w:uiPriority w:val="99"/>
    <w:semiHidden/>
    <w:unhideWhenUsed/>
    <w:rsid w:val="001E557C"/>
    <w:rPr>
      <w:color w:val="800080" w:themeColor="followedHyperlink"/>
      <w:u w:val="single"/>
    </w:rPr>
  </w:style>
  <w:style w:type="table" w:styleId="Grilledutableau">
    <w:name w:val="Table Grid"/>
    <w:basedOn w:val="TableauNormal"/>
    <w:uiPriority w:val="59"/>
    <w:rsid w:val="00A87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Policepardfaut"/>
    <w:rsid w:val="00710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615237">
      <w:bodyDiv w:val="1"/>
      <w:marLeft w:val="0"/>
      <w:marRight w:val="0"/>
      <w:marTop w:val="0"/>
      <w:marBottom w:val="0"/>
      <w:divBdr>
        <w:top w:val="none" w:sz="0" w:space="0" w:color="auto"/>
        <w:left w:val="none" w:sz="0" w:space="0" w:color="auto"/>
        <w:bottom w:val="none" w:sz="0" w:space="0" w:color="auto"/>
        <w:right w:val="none" w:sz="0" w:space="0" w:color="auto"/>
      </w:divBdr>
      <w:divsChild>
        <w:div w:id="955603970">
          <w:marLeft w:val="0"/>
          <w:marRight w:val="0"/>
          <w:marTop w:val="0"/>
          <w:marBottom w:val="0"/>
          <w:divBdr>
            <w:top w:val="none" w:sz="0" w:space="0" w:color="auto"/>
            <w:left w:val="none" w:sz="0" w:space="0" w:color="auto"/>
            <w:bottom w:val="none" w:sz="0" w:space="0" w:color="auto"/>
            <w:right w:val="none" w:sz="0" w:space="0" w:color="auto"/>
          </w:divBdr>
        </w:div>
        <w:div w:id="1472409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Gje2UmkdsG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astorama.fr/10-vis-indevissables-avec-chevilles-mottez-pour-fixation-securikit/3234640032320_CAFR.prd?fbclid=IwAR3iilfMFLkv4A8n17dcoFQ9fJZIsm_lh1cmDmjMkrohf7a2Q2gEEcdu6AY" TargetMode="External"/><Relationship Id="rId7" Type="http://schemas.openxmlformats.org/officeDocument/2006/relationships/hyperlink" Target="http://www.next-up.org/pdf/Linky_Jugement_au_Fond_Legitime_protection_de_biens.pdf"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mamiesha.blogspot.com/2019/02/barricader-son-compteur-contre-linky.html?fbclid=IwAR0_4RPeA9y13Y8b6VSfeEQxxCNMB-LsPEFtNEBeimsxC-5eVK9rOLHvHt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D0E34-AB24-43FD-A370-09307DA71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710</Words>
  <Characters>3905</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4</cp:revision>
  <cp:lastPrinted>2019-07-17T22:01:00Z</cp:lastPrinted>
  <dcterms:created xsi:type="dcterms:W3CDTF">2019-11-28T18:07:00Z</dcterms:created>
  <dcterms:modified xsi:type="dcterms:W3CDTF">2020-02-19T21:02:00Z</dcterms:modified>
</cp:coreProperties>
</file>