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E07F" w14:textId="554317B6" w:rsidR="009B5446" w:rsidRDefault="009B5446">
      <w:pPr>
        <w:rPr>
          <w:sz w:val="24"/>
          <w:szCs w:val="24"/>
        </w:rPr>
      </w:pPr>
    </w:p>
    <w:p w14:paraId="09F17DF5" w14:textId="77777777" w:rsidR="00CD2EBA" w:rsidRPr="00DB1E11" w:rsidRDefault="00CD2EBA">
      <w:pPr>
        <w:rPr>
          <w:sz w:val="24"/>
          <w:szCs w:val="24"/>
        </w:rPr>
      </w:pPr>
    </w:p>
    <w:p w14:paraId="2979475F" w14:textId="77777777" w:rsidR="0073202B" w:rsidRPr="00D54F09" w:rsidRDefault="006144C5" w:rsidP="00252DE3">
      <w:pPr>
        <w:jc w:val="center"/>
        <w:rPr>
          <w:b/>
          <w:sz w:val="52"/>
          <w:szCs w:val="52"/>
          <w:u w:val="single"/>
        </w:rPr>
      </w:pPr>
      <w:r w:rsidRPr="00D54F09">
        <w:rPr>
          <w:b/>
          <w:sz w:val="52"/>
          <w:szCs w:val="52"/>
          <w:u w:val="single"/>
        </w:rPr>
        <w:t>Barème d’honoraires</w:t>
      </w:r>
    </w:p>
    <w:p w14:paraId="2D0083DD" w14:textId="77777777" w:rsidR="00CD2EBA" w:rsidRDefault="00CD2EBA" w:rsidP="00252DE3">
      <w:pPr>
        <w:jc w:val="center"/>
        <w:rPr>
          <w:b/>
          <w:sz w:val="40"/>
          <w:szCs w:val="40"/>
        </w:rPr>
      </w:pPr>
    </w:p>
    <w:p w14:paraId="4133EA7A" w14:textId="77777777" w:rsidR="00CD2EBA" w:rsidRDefault="00CD2EBA" w:rsidP="00252DE3">
      <w:pPr>
        <w:jc w:val="center"/>
        <w:rPr>
          <w:b/>
          <w:sz w:val="40"/>
          <w:szCs w:val="40"/>
        </w:rPr>
      </w:pPr>
    </w:p>
    <w:p w14:paraId="2CB3DC2F" w14:textId="07CF9280" w:rsidR="006144C5" w:rsidRPr="00D54F09" w:rsidRDefault="006144C5" w:rsidP="00252DE3">
      <w:pPr>
        <w:jc w:val="center"/>
        <w:rPr>
          <w:b/>
          <w:sz w:val="40"/>
          <w:szCs w:val="40"/>
        </w:rPr>
      </w:pPr>
      <w:r w:rsidRPr="00D54F09">
        <w:rPr>
          <w:b/>
          <w:sz w:val="40"/>
          <w:szCs w:val="40"/>
        </w:rPr>
        <w:t>Vente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44C5" w:rsidRPr="00DB1E11" w14:paraId="4F5B545E" w14:textId="77777777" w:rsidTr="004C5F63">
        <w:tc>
          <w:tcPr>
            <w:tcW w:w="4531" w:type="dxa"/>
            <w:shd w:val="clear" w:color="auto" w:fill="ACB9CA" w:themeFill="text2" w:themeFillTint="66"/>
          </w:tcPr>
          <w:p w14:paraId="0B12B44B" w14:textId="77777777" w:rsidR="006144C5" w:rsidRPr="00D906E0" w:rsidRDefault="006144C5" w:rsidP="005F43AD">
            <w:pPr>
              <w:jc w:val="center"/>
              <w:rPr>
                <w:b/>
                <w:sz w:val="24"/>
                <w:szCs w:val="24"/>
              </w:rPr>
            </w:pPr>
            <w:r w:rsidRPr="00D906E0">
              <w:rPr>
                <w:b/>
                <w:sz w:val="24"/>
                <w:szCs w:val="24"/>
              </w:rPr>
              <w:t>Montant de la transaction</w:t>
            </w:r>
          </w:p>
        </w:tc>
        <w:tc>
          <w:tcPr>
            <w:tcW w:w="4531" w:type="dxa"/>
            <w:shd w:val="clear" w:color="auto" w:fill="ACB9CA" w:themeFill="text2" w:themeFillTint="66"/>
          </w:tcPr>
          <w:p w14:paraId="679B6414" w14:textId="77777777" w:rsidR="006144C5" w:rsidRPr="00DB1E11" w:rsidRDefault="006144C5" w:rsidP="005F43AD">
            <w:pPr>
              <w:jc w:val="center"/>
              <w:rPr>
                <w:b/>
                <w:sz w:val="24"/>
                <w:szCs w:val="24"/>
              </w:rPr>
            </w:pPr>
            <w:r w:rsidRPr="00D906E0">
              <w:rPr>
                <w:b/>
                <w:sz w:val="24"/>
                <w:szCs w:val="24"/>
              </w:rPr>
              <w:t>Rémunération</w:t>
            </w:r>
          </w:p>
        </w:tc>
      </w:tr>
      <w:tr w:rsidR="006144C5" w:rsidRPr="00DB1E11" w14:paraId="4FA75F74" w14:textId="77777777" w:rsidTr="006144C5">
        <w:tc>
          <w:tcPr>
            <w:tcW w:w="4531" w:type="dxa"/>
          </w:tcPr>
          <w:p w14:paraId="7DC072B6" w14:textId="55D90AFC" w:rsidR="006144C5" w:rsidRPr="00DB1E11" w:rsidRDefault="006144C5">
            <w:pPr>
              <w:rPr>
                <w:sz w:val="24"/>
                <w:szCs w:val="24"/>
              </w:rPr>
            </w:pPr>
            <w:r w:rsidRPr="00DB1E11">
              <w:rPr>
                <w:sz w:val="24"/>
                <w:szCs w:val="24"/>
              </w:rPr>
              <w:t xml:space="preserve">De 1 à </w:t>
            </w:r>
            <w:r w:rsidR="002417FB">
              <w:rPr>
                <w:sz w:val="24"/>
                <w:szCs w:val="24"/>
              </w:rPr>
              <w:t>4</w:t>
            </w:r>
            <w:r w:rsidR="00D906E0">
              <w:rPr>
                <w:sz w:val="24"/>
                <w:szCs w:val="24"/>
              </w:rPr>
              <w:t>9 999</w:t>
            </w:r>
            <w:r w:rsidRPr="00DB1E11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4531" w:type="dxa"/>
          </w:tcPr>
          <w:p w14:paraId="5AFDA4C7" w14:textId="6FE0F43C" w:rsidR="006144C5" w:rsidRPr="00DB1E11" w:rsidRDefault="00241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</w:t>
            </w:r>
            <w:r w:rsidR="006144C5" w:rsidRPr="00DB1E11">
              <w:rPr>
                <w:sz w:val="24"/>
                <w:szCs w:val="24"/>
              </w:rPr>
              <w:t>00 €</w:t>
            </w:r>
          </w:p>
        </w:tc>
      </w:tr>
      <w:tr w:rsidR="002417FB" w:rsidRPr="00DB1E11" w14:paraId="3C0BAE98" w14:textId="77777777" w:rsidTr="0048006E">
        <w:tc>
          <w:tcPr>
            <w:tcW w:w="4531" w:type="dxa"/>
            <w:shd w:val="clear" w:color="auto" w:fill="D5DCE4" w:themeFill="text2" w:themeFillTint="33"/>
          </w:tcPr>
          <w:p w14:paraId="11C65348" w14:textId="6DF3842A" w:rsidR="002417FB" w:rsidRPr="00DB1E11" w:rsidRDefault="00241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50 000 à 99 999 €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0075A370" w14:textId="156C7F50" w:rsidR="002417FB" w:rsidRDefault="00241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3 500 €</w:t>
            </w:r>
          </w:p>
        </w:tc>
      </w:tr>
      <w:tr w:rsidR="006144C5" w:rsidRPr="00DB1E11" w14:paraId="652D0105" w14:textId="77777777" w:rsidTr="0048006E">
        <w:tc>
          <w:tcPr>
            <w:tcW w:w="4531" w:type="dxa"/>
            <w:shd w:val="clear" w:color="auto" w:fill="FFFFFF" w:themeFill="background1"/>
          </w:tcPr>
          <w:p w14:paraId="6305B3F7" w14:textId="4EA33080" w:rsidR="006144C5" w:rsidRPr="00DB1E11" w:rsidRDefault="0024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 w:rsidR="00D906E0">
              <w:rPr>
                <w:sz w:val="24"/>
                <w:szCs w:val="24"/>
              </w:rPr>
              <w:t xml:space="preserve"> 100 000</w:t>
            </w:r>
            <w:r w:rsidR="006144C5" w:rsidRPr="00DB1E11">
              <w:rPr>
                <w:sz w:val="24"/>
                <w:szCs w:val="24"/>
              </w:rPr>
              <w:t xml:space="preserve"> €</w:t>
            </w:r>
            <w:r>
              <w:rPr>
                <w:sz w:val="24"/>
                <w:szCs w:val="24"/>
              </w:rPr>
              <w:t xml:space="preserve"> à 499 999 €</w:t>
            </w:r>
          </w:p>
        </w:tc>
        <w:tc>
          <w:tcPr>
            <w:tcW w:w="4531" w:type="dxa"/>
            <w:shd w:val="clear" w:color="auto" w:fill="FFFFFF" w:themeFill="background1"/>
          </w:tcPr>
          <w:p w14:paraId="6CD5E7DD" w14:textId="41051343" w:rsidR="006144C5" w:rsidRPr="00DB1E11" w:rsidRDefault="006144C5">
            <w:pPr>
              <w:rPr>
                <w:sz w:val="24"/>
                <w:szCs w:val="24"/>
              </w:rPr>
            </w:pPr>
            <w:r w:rsidRPr="00DB1E11">
              <w:rPr>
                <w:sz w:val="24"/>
                <w:szCs w:val="24"/>
              </w:rPr>
              <w:t>4 </w:t>
            </w:r>
            <w:r w:rsidR="00D906E0">
              <w:rPr>
                <w:sz w:val="24"/>
                <w:szCs w:val="24"/>
              </w:rPr>
              <w:t>%</w:t>
            </w:r>
          </w:p>
        </w:tc>
      </w:tr>
      <w:tr w:rsidR="002458FF" w:rsidRPr="00DB1E11" w14:paraId="51A8DD2C" w14:textId="77777777" w:rsidTr="002458FF">
        <w:tc>
          <w:tcPr>
            <w:tcW w:w="4531" w:type="dxa"/>
            <w:shd w:val="clear" w:color="auto" w:fill="D5DCE4" w:themeFill="text2" w:themeFillTint="33"/>
          </w:tcPr>
          <w:p w14:paraId="486C8765" w14:textId="100E1065" w:rsidR="002458FF" w:rsidRDefault="0024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500 000 € à 999 999 €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0693080F" w14:textId="17545EEE" w:rsidR="002458FF" w:rsidRPr="00DB1E11" w:rsidRDefault="0024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3,5 %</w:t>
            </w:r>
          </w:p>
        </w:tc>
      </w:tr>
      <w:tr w:rsidR="002458FF" w:rsidRPr="00DB1E11" w14:paraId="11A52A04" w14:textId="77777777" w:rsidTr="0048006E">
        <w:tc>
          <w:tcPr>
            <w:tcW w:w="4531" w:type="dxa"/>
            <w:shd w:val="clear" w:color="auto" w:fill="FFFFFF" w:themeFill="background1"/>
          </w:tcPr>
          <w:p w14:paraId="5A1281CD" w14:textId="271B09AE" w:rsidR="002458FF" w:rsidRDefault="0024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partir de 1 000 000 €</w:t>
            </w:r>
          </w:p>
        </w:tc>
        <w:tc>
          <w:tcPr>
            <w:tcW w:w="4531" w:type="dxa"/>
            <w:shd w:val="clear" w:color="auto" w:fill="FFFFFF" w:themeFill="background1"/>
          </w:tcPr>
          <w:p w14:paraId="130A6A85" w14:textId="1C26BD9A" w:rsidR="002458FF" w:rsidRPr="00DB1E11" w:rsidRDefault="0024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</w:tr>
    </w:tbl>
    <w:p w14:paraId="4D7BACC6" w14:textId="41A10CE9" w:rsidR="006144C5" w:rsidRDefault="006144C5">
      <w:pPr>
        <w:rPr>
          <w:sz w:val="24"/>
          <w:szCs w:val="24"/>
        </w:rPr>
      </w:pPr>
    </w:p>
    <w:p w14:paraId="71B25FCE" w14:textId="77777777" w:rsidR="00B529E1" w:rsidRPr="00343F7D" w:rsidRDefault="00B529E1" w:rsidP="00B529E1">
      <w:pPr>
        <w:spacing w:after="0" w:line="360" w:lineRule="atLeast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2F1226">
        <w:rPr>
          <w:rFonts w:eastAsia="Times New Roman" w:cstheme="minorHAnsi"/>
          <w:sz w:val="20"/>
          <w:szCs w:val="20"/>
          <w:lang w:eastAsia="fr-FR"/>
        </w:rPr>
        <w:t>Ces prix s’entendent TVA incluse au taux de 20%. Nos honoraires comprennent les prestations de visite, négociation et constitution de dossier. Conformément aux usages locaux et sauf convention expresse différente entre les parties (indiquée au mandat), la rémunération sera à la charge de l’acquéreur. Tout compromis de vente sera signé avec le concours d’un notaire</w:t>
      </w:r>
      <w:r w:rsidRPr="00AE17A2">
        <w:rPr>
          <w:rFonts w:eastAsia="Times New Roman" w:cstheme="minorHAnsi"/>
          <w:sz w:val="24"/>
          <w:szCs w:val="24"/>
          <w:lang w:eastAsia="fr-FR"/>
        </w:rPr>
        <w:t>.</w:t>
      </w:r>
    </w:p>
    <w:p w14:paraId="5A7911F2" w14:textId="7FB72A13" w:rsidR="00B529E1" w:rsidRDefault="00B529E1">
      <w:pPr>
        <w:rPr>
          <w:sz w:val="24"/>
          <w:szCs w:val="24"/>
        </w:rPr>
      </w:pPr>
    </w:p>
    <w:p w14:paraId="30D6205A" w14:textId="21A3E381" w:rsidR="00CD2EBA" w:rsidRDefault="00CD2EBA">
      <w:pPr>
        <w:rPr>
          <w:sz w:val="24"/>
          <w:szCs w:val="24"/>
        </w:rPr>
      </w:pPr>
    </w:p>
    <w:p w14:paraId="275B984B" w14:textId="77777777" w:rsidR="00CD2EBA" w:rsidRPr="00DB1E11" w:rsidRDefault="00CD2EBA">
      <w:pPr>
        <w:rPr>
          <w:sz w:val="24"/>
          <w:szCs w:val="24"/>
        </w:rPr>
      </w:pPr>
    </w:p>
    <w:p w14:paraId="1CA00239" w14:textId="77777777" w:rsidR="0076616D" w:rsidRPr="00D54F09" w:rsidRDefault="0076616D" w:rsidP="0076616D">
      <w:pPr>
        <w:jc w:val="center"/>
        <w:rPr>
          <w:b/>
          <w:sz w:val="40"/>
          <w:szCs w:val="40"/>
        </w:rPr>
      </w:pPr>
      <w:r w:rsidRPr="00D54F09">
        <w:rPr>
          <w:b/>
          <w:sz w:val="40"/>
          <w:szCs w:val="40"/>
        </w:rPr>
        <w:t>Location</w:t>
      </w:r>
      <w:r w:rsidR="00343F7D" w:rsidRPr="00D54F09">
        <w:rPr>
          <w:b/>
          <w:sz w:val="40"/>
          <w:szCs w:val="40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616D" w:rsidRPr="00DB1E11" w14:paraId="2BD80DAA" w14:textId="77777777" w:rsidTr="004C5F63">
        <w:tc>
          <w:tcPr>
            <w:tcW w:w="4531" w:type="dxa"/>
            <w:shd w:val="clear" w:color="auto" w:fill="ACB9CA" w:themeFill="text2" w:themeFillTint="66"/>
          </w:tcPr>
          <w:p w14:paraId="4181F376" w14:textId="77777777" w:rsidR="0076616D" w:rsidRPr="00DB1E11" w:rsidRDefault="0076616D" w:rsidP="005726BF">
            <w:pPr>
              <w:jc w:val="center"/>
              <w:rPr>
                <w:b/>
                <w:sz w:val="24"/>
                <w:szCs w:val="24"/>
              </w:rPr>
            </w:pPr>
            <w:bookmarkStart w:id="0" w:name="_Hlk518461116"/>
            <w:r w:rsidRPr="00DB1E11">
              <w:rPr>
                <w:b/>
                <w:sz w:val="24"/>
                <w:szCs w:val="24"/>
              </w:rPr>
              <w:t>Nature de l’opération</w:t>
            </w:r>
          </w:p>
        </w:tc>
        <w:tc>
          <w:tcPr>
            <w:tcW w:w="4531" w:type="dxa"/>
            <w:shd w:val="clear" w:color="auto" w:fill="ACB9CA" w:themeFill="text2" w:themeFillTint="66"/>
          </w:tcPr>
          <w:p w14:paraId="3165DCE5" w14:textId="77777777" w:rsidR="0076616D" w:rsidRPr="00DB1E11" w:rsidRDefault="0076616D" w:rsidP="005726BF">
            <w:pPr>
              <w:jc w:val="center"/>
              <w:rPr>
                <w:b/>
                <w:sz w:val="24"/>
                <w:szCs w:val="24"/>
              </w:rPr>
            </w:pPr>
            <w:r w:rsidRPr="00DB1E11">
              <w:rPr>
                <w:b/>
                <w:sz w:val="24"/>
                <w:szCs w:val="24"/>
              </w:rPr>
              <w:t>Rémunération</w:t>
            </w:r>
          </w:p>
        </w:tc>
      </w:tr>
      <w:tr w:rsidR="0076616D" w:rsidRPr="00DB1E11" w14:paraId="42B8C569" w14:textId="77777777" w:rsidTr="005726BF">
        <w:tc>
          <w:tcPr>
            <w:tcW w:w="4531" w:type="dxa"/>
          </w:tcPr>
          <w:p w14:paraId="1A910FBF" w14:textId="77777777" w:rsidR="0076616D" w:rsidRPr="00DB1E11" w:rsidRDefault="0076616D" w:rsidP="005726BF">
            <w:pPr>
              <w:rPr>
                <w:sz w:val="24"/>
                <w:szCs w:val="24"/>
              </w:rPr>
            </w:pPr>
            <w:r w:rsidRPr="00DB1E11">
              <w:rPr>
                <w:sz w:val="24"/>
                <w:szCs w:val="24"/>
              </w:rPr>
              <w:t>Etat des lieux</w:t>
            </w:r>
          </w:p>
        </w:tc>
        <w:tc>
          <w:tcPr>
            <w:tcW w:w="4531" w:type="dxa"/>
          </w:tcPr>
          <w:p w14:paraId="4A15D5D2" w14:textId="77777777" w:rsidR="0076616D" w:rsidRPr="00DB1E11" w:rsidRDefault="0076616D" w:rsidP="005726BF">
            <w:pPr>
              <w:rPr>
                <w:sz w:val="24"/>
                <w:szCs w:val="24"/>
              </w:rPr>
            </w:pPr>
            <w:r w:rsidRPr="00DB1E11">
              <w:rPr>
                <w:sz w:val="24"/>
                <w:szCs w:val="24"/>
              </w:rPr>
              <w:t>3 €/m2</w:t>
            </w:r>
          </w:p>
        </w:tc>
      </w:tr>
      <w:tr w:rsidR="0076616D" w:rsidRPr="00DB1E11" w14:paraId="44A9F4B8" w14:textId="77777777" w:rsidTr="00970C20">
        <w:tc>
          <w:tcPr>
            <w:tcW w:w="4531" w:type="dxa"/>
            <w:shd w:val="clear" w:color="auto" w:fill="D5DCE4" w:themeFill="text2" w:themeFillTint="33"/>
          </w:tcPr>
          <w:p w14:paraId="457A2B1B" w14:textId="77777777" w:rsidR="0076616D" w:rsidRPr="00DB1E11" w:rsidRDefault="0076616D" w:rsidP="005726BF">
            <w:pPr>
              <w:rPr>
                <w:sz w:val="24"/>
                <w:szCs w:val="24"/>
              </w:rPr>
            </w:pPr>
            <w:r w:rsidRPr="00DB1E11">
              <w:rPr>
                <w:sz w:val="24"/>
                <w:szCs w:val="24"/>
              </w:rPr>
              <w:t>Dossier + Visite + Rédaction de bail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14:paraId="7AD47C1A" w14:textId="77777777" w:rsidR="0076616D" w:rsidRPr="00DB1E11" w:rsidRDefault="0076616D" w:rsidP="005726BF">
            <w:pPr>
              <w:rPr>
                <w:sz w:val="24"/>
                <w:szCs w:val="24"/>
              </w:rPr>
            </w:pPr>
            <w:r w:rsidRPr="00DB1E11">
              <w:rPr>
                <w:sz w:val="24"/>
                <w:szCs w:val="24"/>
              </w:rPr>
              <w:t>Montant du loyer</w:t>
            </w:r>
          </w:p>
        </w:tc>
      </w:tr>
    </w:tbl>
    <w:bookmarkEnd w:id="0"/>
    <w:p w14:paraId="471E19AD" w14:textId="77777777" w:rsidR="00343F7D" w:rsidRPr="006D25FC" w:rsidRDefault="00D43F72" w:rsidP="00D43F72">
      <w:pPr>
        <w:spacing w:after="0" w:line="396" w:lineRule="atLeast"/>
        <w:jc w:val="both"/>
        <w:textAlignment w:val="baseline"/>
        <w:outlineLvl w:val="0"/>
        <w:rPr>
          <w:rFonts w:eastAsia="Times New Roman" w:cstheme="minorHAnsi"/>
          <w:kern w:val="36"/>
          <w:sz w:val="20"/>
          <w:szCs w:val="20"/>
          <w:lang w:eastAsia="fr-FR"/>
        </w:rPr>
      </w:pPr>
      <w:r w:rsidRPr="006D25FC">
        <w:rPr>
          <w:rFonts w:cstheme="minorHAnsi"/>
          <w:sz w:val="20"/>
          <w:szCs w:val="20"/>
        </w:rPr>
        <w:t>*</w:t>
      </w:r>
      <w:hyperlink r:id="rId7" w:tgtFrame="_blank" w:tooltip="Décret frais d'agence plafonnement" w:history="1">
        <w:r w:rsidR="00DB1E11" w:rsidRPr="006D25FC">
          <w:rPr>
            <w:rStyle w:val="Lienhypertexte"/>
            <w:rFonts w:cstheme="minorHAnsi"/>
            <w:color w:val="auto"/>
            <w:sz w:val="20"/>
            <w:szCs w:val="20"/>
            <w:bdr w:val="none" w:sz="0" w:space="0" w:color="auto" w:frame="1"/>
          </w:rPr>
          <w:t>Décret n°2014-890 sur le plafonnement des honoraires de location</w:t>
        </w:r>
        <w:r w:rsidRPr="006D25FC">
          <w:rPr>
            <w:rStyle w:val="Lienhypertexte"/>
            <w:rFonts w:cstheme="minorHAnsi"/>
            <w:color w:val="auto"/>
            <w:sz w:val="20"/>
            <w:szCs w:val="20"/>
            <w:bdr w:val="none" w:sz="0" w:space="0" w:color="auto" w:frame="1"/>
          </w:rPr>
          <w:t> </w:t>
        </w:r>
      </w:hyperlink>
      <w:r w:rsidRPr="006D25FC">
        <w:rPr>
          <w:rFonts w:cstheme="minorHAnsi"/>
          <w:sz w:val="20"/>
          <w:szCs w:val="20"/>
        </w:rPr>
        <w:t>:</w:t>
      </w:r>
      <w:r w:rsidR="00DB1E11" w:rsidRPr="006D25F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fr-FR"/>
        </w:rPr>
        <w:t xml:space="preserve"> </w:t>
      </w:r>
      <w:r w:rsidR="00DB1E11" w:rsidRPr="006D25FC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>A partir du 15 septembre 2014</w:t>
      </w:r>
      <w:r w:rsidR="00DB1E11" w:rsidRPr="006D25FC">
        <w:rPr>
          <w:rFonts w:eastAsia="Times New Roman" w:cstheme="minorHAnsi"/>
          <w:bCs/>
          <w:sz w:val="20"/>
          <w:szCs w:val="20"/>
          <w:lang w:eastAsia="fr-FR"/>
        </w:rPr>
        <w:t xml:space="preserve">, les </w:t>
      </w:r>
      <w:r w:rsidR="00DB1E11" w:rsidRPr="006D25FC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>honoraires de location</w:t>
      </w:r>
      <w:r w:rsidR="00DB1E11" w:rsidRPr="006D25FC">
        <w:rPr>
          <w:rFonts w:eastAsia="Times New Roman" w:cstheme="minorHAnsi"/>
          <w:bCs/>
          <w:sz w:val="20"/>
          <w:szCs w:val="20"/>
          <w:lang w:eastAsia="fr-FR"/>
        </w:rPr>
        <w:t xml:space="preserve"> d’un logement facturés aux locataires par les agents immobiliers</w:t>
      </w:r>
      <w:r w:rsidR="00DB1E11" w:rsidRPr="006D25FC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 xml:space="preserve"> sont plafonnées</w:t>
      </w:r>
      <w:r w:rsidR="00DB1E11" w:rsidRPr="006D25FC">
        <w:rPr>
          <w:rFonts w:eastAsia="Times New Roman" w:cstheme="minorHAnsi"/>
          <w:bCs/>
          <w:sz w:val="20"/>
          <w:szCs w:val="20"/>
          <w:lang w:eastAsia="fr-FR"/>
        </w:rPr>
        <w:t>.</w:t>
      </w:r>
    </w:p>
    <w:p w14:paraId="68CBCBBA" w14:textId="77777777" w:rsidR="00343F7D" w:rsidRDefault="00343F7D" w:rsidP="00D43F72">
      <w:pPr>
        <w:spacing w:after="0" w:line="360" w:lineRule="atLeast"/>
        <w:jc w:val="both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</w:pPr>
      <w:r w:rsidRPr="00343F7D">
        <w:rPr>
          <w:rFonts w:eastAsia="Times New Roman" w:cstheme="minorHAnsi"/>
          <w:sz w:val="20"/>
          <w:szCs w:val="20"/>
          <w:lang w:eastAsia="fr-FR"/>
        </w:rPr>
        <w:t xml:space="preserve">Le propriétaire bailleur prendra désormais en charge la totalité des honoraires liés à la mise en location de son bien, </w:t>
      </w:r>
      <w:r w:rsidRPr="00343F7D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>à l’exception de quatre prestations qui seront partagées entre le propriétaire et le locataire : la visite du logement,</w:t>
      </w:r>
      <w:r w:rsidR="00D43F72" w:rsidRPr="006D25FC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 xml:space="preserve"> </w:t>
      </w:r>
      <w:r w:rsidRPr="00343F7D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>la rédaction du bail,</w:t>
      </w:r>
      <w:r w:rsidR="00D43F72" w:rsidRPr="006D25FC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 xml:space="preserve"> </w:t>
      </w:r>
      <w:r w:rsidRPr="00343F7D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>la constitution du dossier</w:t>
      </w:r>
      <w:r w:rsidR="00D43F72" w:rsidRPr="006D25FC">
        <w:rPr>
          <w:rFonts w:eastAsia="Times New Roman" w:cstheme="minorHAnsi"/>
          <w:sz w:val="20"/>
          <w:szCs w:val="20"/>
          <w:lang w:eastAsia="fr-FR"/>
        </w:rPr>
        <w:t xml:space="preserve"> et </w:t>
      </w:r>
      <w:r w:rsidRPr="00343F7D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fr-FR"/>
        </w:rPr>
        <w:t>l’établissement de l’état des lieux.</w:t>
      </w:r>
    </w:p>
    <w:p w14:paraId="51CB6C79" w14:textId="77777777" w:rsidR="0076616D" w:rsidRPr="00DB1E11" w:rsidRDefault="0076616D">
      <w:pPr>
        <w:rPr>
          <w:sz w:val="24"/>
          <w:szCs w:val="24"/>
        </w:rPr>
      </w:pPr>
      <w:bookmarkStart w:id="1" w:name="_GoBack"/>
      <w:bookmarkEnd w:id="1"/>
    </w:p>
    <w:sectPr w:rsidR="0076616D" w:rsidRPr="00DB1E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04CB2" w14:textId="77777777" w:rsidR="00A620AE" w:rsidRDefault="00A620AE" w:rsidP="00D54F09">
      <w:pPr>
        <w:spacing w:after="0" w:line="240" w:lineRule="auto"/>
      </w:pPr>
      <w:r>
        <w:separator/>
      </w:r>
    </w:p>
  </w:endnote>
  <w:endnote w:type="continuationSeparator" w:id="0">
    <w:p w14:paraId="06F6B78B" w14:textId="77777777" w:rsidR="00A620AE" w:rsidRDefault="00A620AE" w:rsidP="00D5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A9C7A" w14:textId="77777777" w:rsidR="00A620AE" w:rsidRDefault="00A620AE" w:rsidP="00D54F09">
      <w:pPr>
        <w:spacing w:after="0" w:line="240" w:lineRule="auto"/>
      </w:pPr>
      <w:r>
        <w:separator/>
      </w:r>
    </w:p>
  </w:footnote>
  <w:footnote w:type="continuationSeparator" w:id="0">
    <w:p w14:paraId="06141442" w14:textId="77777777" w:rsidR="00A620AE" w:rsidRDefault="00A620AE" w:rsidP="00D5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8580" w14:textId="5A539C49" w:rsidR="00D54F09" w:rsidRDefault="00D906E0" w:rsidP="00D906E0">
    <w:pPr>
      <w:pStyle w:val="En-tte"/>
      <w:jc w:val="center"/>
    </w:pPr>
    <w:r>
      <w:rPr>
        <w:noProof/>
      </w:rPr>
      <w:drawing>
        <wp:inline distT="0" distB="0" distL="0" distR="0" wp14:anchorId="549F7D7A" wp14:editId="1884E17D">
          <wp:extent cx="2228850" cy="989392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élection Ev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971" cy="99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975"/>
    <w:multiLevelType w:val="multilevel"/>
    <w:tmpl w:val="3F2A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2C2667"/>
    <w:multiLevelType w:val="hybridMultilevel"/>
    <w:tmpl w:val="28DCC99E"/>
    <w:lvl w:ilvl="0" w:tplc="CC72BF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46"/>
    <w:rsid w:val="002417FB"/>
    <w:rsid w:val="002458FF"/>
    <w:rsid w:val="00252DE3"/>
    <w:rsid w:val="00285742"/>
    <w:rsid w:val="002E1E71"/>
    <w:rsid w:val="002F1226"/>
    <w:rsid w:val="00343F7D"/>
    <w:rsid w:val="00345516"/>
    <w:rsid w:val="00452B07"/>
    <w:rsid w:val="0048006E"/>
    <w:rsid w:val="004C5F63"/>
    <w:rsid w:val="005F43AD"/>
    <w:rsid w:val="006144C5"/>
    <w:rsid w:val="006A1294"/>
    <w:rsid w:val="006C78BE"/>
    <w:rsid w:val="006D25FC"/>
    <w:rsid w:val="0073202B"/>
    <w:rsid w:val="00753724"/>
    <w:rsid w:val="0076616D"/>
    <w:rsid w:val="00894F32"/>
    <w:rsid w:val="00970C20"/>
    <w:rsid w:val="009B5446"/>
    <w:rsid w:val="00A620AE"/>
    <w:rsid w:val="00AE17A2"/>
    <w:rsid w:val="00B529E1"/>
    <w:rsid w:val="00B6281F"/>
    <w:rsid w:val="00CB457E"/>
    <w:rsid w:val="00CD2EBA"/>
    <w:rsid w:val="00D06D1B"/>
    <w:rsid w:val="00D43F72"/>
    <w:rsid w:val="00D54F09"/>
    <w:rsid w:val="00D906E0"/>
    <w:rsid w:val="00D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986D0"/>
  <w15:chartTrackingRefBased/>
  <w15:docId w15:val="{21FB0C00-FB04-4A49-A167-56ED872A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1E1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B1E1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E1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4F09"/>
  </w:style>
  <w:style w:type="paragraph" w:styleId="Pieddepage">
    <w:name w:val="footer"/>
    <w:basedOn w:val="Normal"/>
    <w:link w:val="PieddepageCar"/>
    <w:uiPriority w:val="99"/>
    <w:unhideWhenUsed/>
    <w:rsid w:val="00D5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-loi-alur.org/docs/decret-2014-890-frais-age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pc</dc:creator>
  <cp:keywords/>
  <dc:description/>
  <cp:lastModifiedBy>d pc</cp:lastModifiedBy>
  <cp:revision>24</cp:revision>
  <cp:lastPrinted>2018-11-09T17:56:00Z</cp:lastPrinted>
  <dcterms:created xsi:type="dcterms:W3CDTF">2018-07-03T14:25:00Z</dcterms:created>
  <dcterms:modified xsi:type="dcterms:W3CDTF">2018-11-09T17:56:00Z</dcterms:modified>
</cp:coreProperties>
</file>