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80" w:rsidRPr="00A80080" w:rsidRDefault="00A80080" w:rsidP="00E20359">
      <w:pPr>
        <w:spacing w:after="0" w:line="240" w:lineRule="auto"/>
        <w:rPr>
          <w:b/>
          <w:u w:val="single"/>
        </w:rPr>
      </w:pPr>
      <w:r>
        <w:rPr>
          <w:b/>
          <w:highlight w:val="yellow"/>
          <w:u w:val="single"/>
        </w:rPr>
        <w:t xml:space="preserve">A. </w:t>
      </w:r>
      <w:r w:rsidRPr="00A80080">
        <w:rPr>
          <w:b/>
          <w:highlight w:val="yellow"/>
          <w:u w:val="single"/>
        </w:rPr>
        <w:t xml:space="preserve">POINTS A TRAITER LORS DE LA </w:t>
      </w:r>
      <w:r>
        <w:rPr>
          <w:b/>
          <w:highlight w:val="yellow"/>
          <w:u w:val="single"/>
        </w:rPr>
        <w:t>RÉ</w:t>
      </w:r>
      <w:r w:rsidRPr="00A80080">
        <w:rPr>
          <w:b/>
          <w:highlight w:val="yellow"/>
          <w:u w:val="single"/>
        </w:rPr>
        <w:t>UNION :</w:t>
      </w:r>
    </w:p>
    <w:p w:rsidR="00A80080" w:rsidRDefault="00A80080" w:rsidP="00E20359">
      <w:pPr>
        <w:spacing w:after="0" w:line="240" w:lineRule="auto"/>
        <w:rPr>
          <w:u w:val="single"/>
        </w:rPr>
      </w:pPr>
    </w:p>
    <w:p w:rsidR="00806CF4" w:rsidRPr="00E20359" w:rsidRDefault="00E20359" w:rsidP="00E20359">
      <w:pPr>
        <w:pStyle w:val="Paragraphedeliste"/>
        <w:numPr>
          <w:ilvl w:val="0"/>
          <w:numId w:val="1"/>
        </w:numPr>
        <w:spacing w:after="0" w:line="240" w:lineRule="auto"/>
        <w:rPr>
          <w:u w:val="single"/>
        </w:rPr>
      </w:pPr>
      <w:r w:rsidRPr="00E20359">
        <w:rPr>
          <w:u w:val="single"/>
        </w:rPr>
        <w:t>Conditions accordées à INTERPAP </w:t>
      </w:r>
      <w:r w:rsidR="00F84DB4">
        <w:rPr>
          <w:u w:val="single"/>
        </w:rPr>
        <w:t>(Lignes de crédit au 31</w:t>
      </w:r>
      <w:r w:rsidR="00B83CC0">
        <w:rPr>
          <w:u w:val="single"/>
        </w:rPr>
        <w:t>/08/2018)</w:t>
      </w:r>
    </w:p>
    <w:tbl>
      <w:tblPr>
        <w:tblStyle w:val="Grilledutableau"/>
        <w:tblpPr w:leftFromText="141" w:rightFromText="141" w:vertAnchor="page" w:horzAnchor="margin" w:tblpXSpec="center" w:tblpY="2566"/>
        <w:tblW w:w="11023" w:type="dxa"/>
        <w:tblLook w:val="04A0" w:firstRow="1" w:lastRow="0" w:firstColumn="1" w:lastColumn="0" w:noHBand="0" w:noVBand="1"/>
      </w:tblPr>
      <w:tblGrid>
        <w:gridCol w:w="2240"/>
        <w:gridCol w:w="2386"/>
        <w:gridCol w:w="2262"/>
        <w:gridCol w:w="1442"/>
        <w:gridCol w:w="2693"/>
      </w:tblGrid>
      <w:tr w:rsidR="00E20359" w:rsidTr="00A80080">
        <w:tc>
          <w:tcPr>
            <w:tcW w:w="11023" w:type="dxa"/>
            <w:gridSpan w:val="5"/>
          </w:tcPr>
          <w:p w:rsidR="00E20359" w:rsidRPr="00806CF4" w:rsidRDefault="00E20359" w:rsidP="00A80080">
            <w:pPr>
              <w:jc w:val="center"/>
              <w:rPr>
                <w:b/>
              </w:rPr>
            </w:pPr>
            <w:r w:rsidRPr="00806CF4">
              <w:rPr>
                <w:b/>
              </w:rPr>
              <w:t>AWB</w:t>
            </w:r>
            <w:r>
              <w:rPr>
                <w:b/>
              </w:rPr>
              <w:t xml:space="preserve"> – Echéance au </w:t>
            </w:r>
            <w:r w:rsidRPr="00F84DB4">
              <w:rPr>
                <w:b/>
              </w:rPr>
              <w:t>30/04/</w:t>
            </w:r>
            <w:r w:rsidRPr="00806CF4">
              <w:rPr>
                <w:b/>
                <w:color w:val="FF0000"/>
              </w:rPr>
              <w:t>19</w:t>
            </w:r>
          </w:p>
        </w:tc>
      </w:tr>
      <w:tr w:rsidR="00E20359" w:rsidTr="00A80080">
        <w:tc>
          <w:tcPr>
            <w:tcW w:w="2240" w:type="dxa"/>
          </w:tcPr>
          <w:p w:rsidR="00E20359" w:rsidRPr="00806CF4" w:rsidRDefault="00E20359" w:rsidP="00A80080">
            <w:pPr>
              <w:jc w:val="center"/>
              <w:rPr>
                <w:b/>
              </w:rPr>
            </w:pPr>
            <w:r w:rsidRPr="00806CF4">
              <w:rPr>
                <w:b/>
              </w:rPr>
              <w:t>Ligne</w:t>
            </w:r>
          </w:p>
        </w:tc>
        <w:tc>
          <w:tcPr>
            <w:tcW w:w="2386" w:type="dxa"/>
          </w:tcPr>
          <w:p w:rsidR="00E20359" w:rsidRPr="00806CF4" w:rsidRDefault="00E20359" w:rsidP="00A80080">
            <w:pPr>
              <w:jc w:val="center"/>
              <w:rPr>
                <w:b/>
              </w:rPr>
            </w:pPr>
            <w:r w:rsidRPr="00806CF4">
              <w:rPr>
                <w:b/>
              </w:rPr>
              <w:t>Montant</w:t>
            </w:r>
            <w:r>
              <w:rPr>
                <w:b/>
              </w:rPr>
              <w:t xml:space="preserve"> autorisé en KMAD</w:t>
            </w:r>
          </w:p>
        </w:tc>
        <w:tc>
          <w:tcPr>
            <w:tcW w:w="2262" w:type="dxa"/>
          </w:tcPr>
          <w:p w:rsidR="00E20359" w:rsidRPr="00806CF4" w:rsidRDefault="00E20359" w:rsidP="00A80080">
            <w:pPr>
              <w:jc w:val="center"/>
              <w:rPr>
                <w:b/>
              </w:rPr>
            </w:pPr>
            <w:r>
              <w:rPr>
                <w:b/>
              </w:rPr>
              <w:t>Conditions</w:t>
            </w:r>
          </w:p>
        </w:tc>
        <w:tc>
          <w:tcPr>
            <w:tcW w:w="1442" w:type="dxa"/>
          </w:tcPr>
          <w:p w:rsidR="00E20359" w:rsidRDefault="00E20359" w:rsidP="00A80080">
            <w:pPr>
              <w:jc w:val="center"/>
              <w:rPr>
                <w:b/>
              </w:rPr>
            </w:pPr>
            <w:r>
              <w:rPr>
                <w:b/>
              </w:rPr>
              <w:t>Statut ligne</w:t>
            </w:r>
          </w:p>
        </w:tc>
        <w:tc>
          <w:tcPr>
            <w:tcW w:w="2693" w:type="dxa"/>
          </w:tcPr>
          <w:p w:rsidR="00E20359" w:rsidRDefault="00E20359" w:rsidP="00A80080">
            <w:pPr>
              <w:jc w:val="center"/>
              <w:rPr>
                <w:b/>
              </w:rPr>
            </w:pPr>
            <w:r>
              <w:rPr>
                <w:b/>
              </w:rPr>
              <w:t>% exploité sur total autorisé</w:t>
            </w:r>
            <w:r w:rsidR="00F84DB4">
              <w:rPr>
                <w:b/>
              </w:rPr>
              <w:t xml:space="preserve"> (au 31/08/18)</w:t>
            </w:r>
          </w:p>
        </w:tc>
      </w:tr>
      <w:tr w:rsidR="00E20359" w:rsidTr="00A80080">
        <w:tc>
          <w:tcPr>
            <w:tcW w:w="2240" w:type="dxa"/>
          </w:tcPr>
          <w:p w:rsidR="00E20359" w:rsidRDefault="00E20359" w:rsidP="00A80080">
            <w:r>
              <w:t>CMT</w:t>
            </w:r>
          </w:p>
        </w:tc>
        <w:tc>
          <w:tcPr>
            <w:tcW w:w="2386" w:type="dxa"/>
          </w:tcPr>
          <w:p w:rsidR="00E20359" w:rsidRDefault="00E20359" w:rsidP="00A80080">
            <w:pPr>
              <w:jc w:val="center"/>
            </w:pPr>
            <w:r>
              <w:t>1 846</w:t>
            </w:r>
          </w:p>
        </w:tc>
        <w:tc>
          <w:tcPr>
            <w:tcW w:w="2262" w:type="dxa"/>
          </w:tcPr>
          <w:p w:rsidR="00E20359" w:rsidRDefault="00E20359" w:rsidP="00A80080">
            <w:pPr>
              <w:jc w:val="center"/>
            </w:pPr>
            <w:r>
              <w:t>6%</w:t>
            </w:r>
          </w:p>
        </w:tc>
        <w:tc>
          <w:tcPr>
            <w:tcW w:w="1442" w:type="dxa"/>
          </w:tcPr>
          <w:p w:rsidR="00E20359" w:rsidRDefault="00E20359" w:rsidP="00A80080">
            <w:pPr>
              <w:jc w:val="center"/>
            </w:pPr>
            <w:r>
              <w:t>Non utilisée</w:t>
            </w:r>
          </w:p>
        </w:tc>
        <w:tc>
          <w:tcPr>
            <w:tcW w:w="2693" w:type="dxa"/>
            <w:shd w:val="clear" w:color="auto" w:fill="D9D9D9" w:themeFill="background1" w:themeFillShade="D9"/>
          </w:tcPr>
          <w:p w:rsidR="00E20359" w:rsidRDefault="00E20359" w:rsidP="00A80080">
            <w:pPr>
              <w:jc w:val="center"/>
            </w:pPr>
          </w:p>
        </w:tc>
      </w:tr>
      <w:tr w:rsidR="00E20359" w:rsidTr="00A80080">
        <w:tc>
          <w:tcPr>
            <w:tcW w:w="2240" w:type="dxa"/>
          </w:tcPr>
          <w:p w:rsidR="00E20359" w:rsidRDefault="00E20359" w:rsidP="00A80080">
            <w:r>
              <w:t>Caisse</w:t>
            </w:r>
          </w:p>
        </w:tc>
        <w:tc>
          <w:tcPr>
            <w:tcW w:w="2386" w:type="dxa"/>
          </w:tcPr>
          <w:p w:rsidR="00E20359" w:rsidRDefault="00E20359" w:rsidP="00A80080">
            <w:pPr>
              <w:jc w:val="center"/>
            </w:pPr>
            <w:r>
              <w:t>5 000</w:t>
            </w:r>
          </w:p>
        </w:tc>
        <w:tc>
          <w:tcPr>
            <w:tcW w:w="2262" w:type="dxa"/>
          </w:tcPr>
          <w:p w:rsidR="00E20359" w:rsidRDefault="00E20359" w:rsidP="00A80080">
            <w:pPr>
              <w:jc w:val="center"/>
            </w:pPr>
            <w:r>
              <w:t>6%</w:t>
            </w:r>
          </w:p>
        </w:tc>
        <w:tc>
          <w:tcPr>
            <w:tcW w:w="1442" w:type="dxa"/>
          </w:tcPr>
          <w:p w:rsidR="00E20359" w:rsidRDefault="00E20359" w:rsidP="00A80080">
            <w:pPr>
              <w:jc w:val="center"/>
            </w:pPr>
            <w:r>
              <w:t>Utilisée</w:t>
            </w:r>
          </w:p>
        </w:tc>
        <w:tc>
          <w:tcPr>
            <w:tcW w:w="2693" w:type="dxa"/>
          </w:tcPr>
          <w:p w:rsidR="00E20359" w:rsidRDefault="00F84DB4" w:rsidP="00A80080">
            <w:pPr>
              <w:jc w:val="center"/>
            </w:pPr>
            <w:r>
              <w:t>90,49%</w:t>
            </w:r>
          </w:p>
        </w:tc>
      </w:tr>
      <w:tr w:rsidR="00E20359" w:rsidTr="00A80080">
        <w:tc>
          <w:tcPr>
            <w:tcW w:w="2240" w:type="dxa"/>
          </w:tcPr>
          <w:p w:rsidR="00E20359" w:rsidRDefault="00E20359" w:rsidP="00A80080">
            <w:r>
              <w:t>Escompte commercial</w:t>
            </w:r>
          </w:p>
        </w:tc>
        <w:tc>
          <w:tcPr>
            <w:tcW w:w="2386" w:type="dxa"/>
          </w:tcPr>
          <w:p w:rsidR="00E20359" w:rsidRDefault="00E20359" w:rsidP="00A80080">
            <w:pPr>
              <w:jc w:val="center"/>
            </w:pPr>
            <w:r>
              <w:t>8 000</w:t>
            </w:r>
          </w:p>
        </w:tc>
        <w:tc>
          <w:tcPr>
            <w:tcW w:w="2262" w:type="dxa"/>
          </w:tcPr>
          <w:p w:rsidR="00E20359" w:rsidRDefault="00E20359" w:rsidP="00A80080">
            <w:pPr>
              <w:jc w:val="center"/>
            </w:pPr>
            <w:r>
              <w:t>6%</w:t>
            </w:r>
          </w:p>
        </w:tc>
        <w:tc>
          <w:tcPr>
            <w:tcW w:w="1442" w:type="dxa"/>
          </w:tcPr>
          <w:p w:rsidR="00E20359" w:rsidRDefault="00E20359" w:rsidP="00A80080">
            <w:pPr>
              <w:jc w:val="center"/>
            </w:pPr>
            <w:r>
              <w:t>Utilisée</w:t>
            </w:r>
          </w:p>
        </w:tc>
        <w:tc>
          <w:tcPr>
            <w:tcW w:w="2693" w:type="dxa"/>
          </w:tcPr>
          <w:p w:rsidR="00E20359" w:rsidRDefault="00F84DB4" w:rsidP="00A80080">
            <w:pPr>
              <w:jc w:val="center"/>
            </w:pPr>
            <w:r>
              <w:t>25,75%</w:t>
            </w:r>
          </w:p>
        </w:tc>
      </w:tr>
      <w:tr w:rsidR="00F84DB4" w:rsidTr="00A80080">
        <w:tc>
          <w:tcPr>
            <w:tcW w:w="2240" w:type="dxa"/>
          </w:tcPr>
          <w:p w:rsidR="00F84DB4" w:rsidRPr="00F84DB4" w:rsidRDefault="00F84DB4" w:rsidP="00A80080">
            <w:pPr>
              <w:rPr>
                <w:i/>
              </w:rPr>
            </w:pPr>
            <w:r w:rsidRPr="00F84DB4">
              <w:rPr>
                <w:i/>
              </w:rPr>
              <w:t>Crédit documentaire</w:t>
            </w:r>
          </w:p>
        </w:tc>
        <w:tc>
          <w:tcPr>
            <w:tcW w:w="2386" w:type="dxa"/>
            <w:vMerge w:val="restart"/>
            <w:vAlign w:val="center"/>
          </w:tcPr>
          <w:p w:rsidR="00F84DB4" w:rsidRDefault="00F84DB4" w:rsidP="00A80080">
            <w:pPr>
              <w:jc w:val="center"/>
            </w:pPr>
            <w:r>
              <w:t>6 000</w:t>
            </w:r>
          </w:p>
        </w:tc>
        <w:tc>
          <w:tcPr>
            <w:tcW w:w="2262" w:type="dxa"/>
          </w:tcPr>
          <w:p w:rsidR="00F84DB4" w:rsidRDefault="00F84DB4" w:rsidP="00A80080">
            <w:pPr>
              <w:jc w:val="center"/>
            </w:pPr>
            <w:r>
              <w:t>50% des accords bancaires</w:t>
            </w:r>
          </w:p>
        </w:tc>
        <w:tc>
          <w:tcPr>
            <w:tcW w:w="1442" w:type="dxa"/>
            <w:vMerge w:val="restart"/>
            <w:vAlign w:val="center"/>
          </w:tcPr>
          <w:p w:rsidR="00F84DB4" w:rsidRDefault="00F84DB4" w:rsidP="00A80080">
            <w:pPr>
              <w:jc w:val="center"/>
            </w:pPr>
            <w:r>
              <w:t>Utilisée</w:t>
            </w:r>
          </w:p>
        </w:tc>
        <w:tc>
          <w:tcPr>
            <w:tcW w:w="2693" w:type="dxa"/>
            <w:vMerge w:val="restart"/>
            <w:vAlign w:val="center"/>
          </w:tcPr>
          <w:p w:rsidR="00F84DB4" w:rsidRDefault="00F84DB4" w:rsidP="00A80080">
            <w:pPr>
              <w:jc w:val="center"/>
            </w:pPr>
            <w:r>
              <w:t>79,32%</w:t>
            </w:r>
          </w:p>
        </w:tc>
      </w:tr>
      <w:tr w:rsidR="00F84DB4" w:rsidTr="00A80080">
        <w:tc>
          <w:tcPr>
            <w:tcW w:w="2240" w:type="dxa"/>
          </w:tcPr>
          <w:p w:rsidR="00F84DB4" w:rsidRPr="00F84DB4" w:rsidRDefault="00F84DB4" w:rsidP="00A80080">
            <w:pPr>
              <w:rPr>
                <w:i/>
              </w:rPr>
            </w:pPr>
            <w:r w:rsidRPr="00F84DB4">
              <w:rPr>
                <w:i/>
              </w:rPr>
              <w:t>Import refinancement</w:t>
            </w:r>
          </w:p>
        </w:tc>
        <w:tc>
          <w:tcPr>
            <w:tcW w:w="2386" w:type="dxa"/>
            <w:vMerge/>
          </w:tcPr>
          <w:p w:rsidR="00F84DB4" w:rsidRDefault="00F84DB4" w:rsidP="00A80080">
            <w:pPr>
              <w:jc w:val="center"/>
            </w:pPr>
          </w:p>
        </w:tc>
        <w:tc>
          <w:tcPr>
            <w:tcW w:w="2262" w:type="dxa"/>
          </w:tcPr>
          <w:p w:rsidR="00F84DB4" w:rsidRDefault="00F84DB4" w:rsidP="00A80080">
            <w:pPr>
              <w:jc w:val="center"/>
            </w:pPr>
            <w:r>
              <w:t>Libor + 3%</w:t>
            </w:r>
          </w:p>
        </w:tc>
        <w:tc>
          <w:tcPr>
            <w:tcW w:w="1442" w:type="dxa"/>
            <w:vMerge/>
          </w:tcPr>
          <w:p w:rsidR="00F84DB4" w:rsidRDefault="00F84DB4" w:rsidP="00A80080">
            <w:pPr>
              <w:jc w:val="center"/>
            </w:pPr>
          </w:p>
        </w:tc>
        <w:tc>
          <w:tcPr>
            <w:tcW w:w="2693" w:type="dxa"/>
            <w:vMerge/>
          </w:tcPr>
          <w:p w:rsidR="00F84DB4" w:rsidRDefault="00F84DB4" w:rsidP="00A80080">
            <w:pPr>
              <w:jc w:val="center"/>
            </w:pPr>
          </w:p>
        </w:tc>
      </w:tr>
      <w:tr w:rsidR="00F84DB4" w:rsidTr="00A80080">
        <w:tc>
          <w:tcPr>
            <w:tcW w:w="2240" w:type="dxa"/>
          </w:tcPr>
          <w:p w:rsidR="00F84DB4" w:rsidRPr="00F84DB4" w:rsidRDefault="00F84DB4" w:rsidP="00A80080">
            <w:pPr>
              <w:rPr>
                <w:i/>
              </w:rPr>
            </w:pPr>
            <w:r w:rsidRPr="00F84DB4">
              <w:rPr>
                <w:i/>
              </w:rPr>
              <w:t>Admission temporaire</w:t>
            </w:r>
          </w:p>
        </w:tc>
        <w:tc>
          <w:tcPr>
            <w:tcW w:w="2386" w:type="dxa"/>
            <w:vMerge/>
          </w:tcPr>
          <w:p w:rsidR="00F84DB4" w:rsidRDefault="00F84DB4" w:rsidP="00A80080">
            <w:pPr>
              <w:jc w:val="center"/>
            </w:pPr>
          </w:p>
        </w:tc>
        <w:tc>
          <w:tcPr>
            <w:tcW w:w="2262" w:type="dxa"/>
            <w:vMerge w:val="restart"/>
            <w:vAlign w:val="center"/>
          </w:tcPr>
          <w:p w:rsidR="00F84DB4" w:rsidRDefault="00F84DB4" w:rsidP="00A80080">
            <w:pPr>
              <w:jc w:val="center"/>
            </w:pPr>
            <w:r>
              <w:t>0,5%</w:t>
            </w:r>
          </w:p>
        </w:tc>
        <w:tc>
          <w:tcPr>
            <w:tcW w:w="1442" w:type="dxa"/>
            <w:vMerge/>
          </w:tcPr>
          <w:p w:rsidR="00F84DB4" w:rsidRDefault="00F84DB4" w:rsidP="00A80080">
            <w:pPr>
              <w:jc w:val="center"/>
            </w:pPr>
          </w:p>
        </w:tc>
        <w:tc>
          <w:tcPr>
            <w:tcW w:w="2693" w:type="dxa"/>
            <w:vMerge/>
          </w:tcPr>
          <w:p w:rsidR="00F84DB4" w:rsidRDefault="00F84DB4" w:rsidP="00A80080">
            <w:pPr>
              <w:jc w:val="center"/>
            </w:pPr>
          </w:p>
        </w:tc>
      </w:tr>
      <w:tr w:rsidR="00F84DB4" w:rsidTr="00A80080">
        <w:tc>
          <w:tcPr>
            <w:tcW w:w="2240" w:type="dxa"/>
          </w:tcPr>
          <w:p w:rsidR="00F84DB4" w:rsidRPr="00F84DB4" w:rsidRDefault="00F84DB4" w:rsidP="00A80080">
            <w:pPr>
              <w:rPr>
                <w:i/>
              </w:rPr>
            </w:pPr>
            <w:r w:rsidRPr="00F84DB4">
              <w:rPr>
                <w:i/>
              </w:rPr>
              <w:t>Aval local</w:t>
            </w:r>
          </w:p>
        </w:tc>
        <w:tc>
          <w:tcPr>
            <w:tcW w:w="2386" w:type="dxa"/>
            <w:vMerge/>
          </w:tcPr>
          <w:p w:rsidR="00F84DB4" w:rsidRDefault="00F84DB4" w:rsidP="00A80080">
            <w:pPr>
              <w:jc w:val="center"/>
            </w:pPr>
          </w:p>
        </w:tc>
        <w:tc>
          <w:tcPr>
            <w:tcW w:w="2262" w:type="dxa"/>
            <w:vMerge/>
          </w:tcPr>
          <w:p w:rsidR="00F84DB4" w:rsidRDefault="00F84DB4" w:rsidP="00A80080">
            <w:pPr>
              <w:jc w:val="center"/>
            </w:pPr>
          </w:p>
        </w:tc>
        <w:tc>
          <w:tcPr>
            <w:tcW w:w="1442" w:type="dxa"/>
            <w:vMerge/>
          </w:tcPr>
          <w:p w:rsidR="00F84DB4" w:rsidRDefault="00F84DB4" w:rsidP="00A80080">
            <w:pPr>
              <w:jc w:val="center"/>
            </w:pPr>
          </w:p>
        </w:tc>
        <w:tc>
          <w:tcPr>
            <w:tcW w:w="2693" w:type="dxa"/>
            <w:vMerge/>
          </w:tcPr>
          <w:p w:rsidR="00F84DB4" w:rsidRDefault="00F84DB4" w:rsidP="00A80080">
            <w:pPr>
              <w:jc w:val="center"/>
            </w:pPr>
          </w:p>
        </w:tc>
      </w:tr>
      <w:tr w:rsidR="00F84DB4" w:rsidTr="00A80080">
        <w:tc>
          <w:tcPr>
            <w:tcW w:w="2240" w:type="dxa"/>
          </w:tcPr>
          <w:p w:rsidR="00F84DB4" w:rsidRPr="00F84DB4" w:rsidRDefault="00F84DB4" w:rsidP="00A80080">
            <w:pPr>
              <w:rPr>
                <w:i/>
              </w:rPr>
            </w:pPr>
            <w:r w:rsidRPr="00F84DB4">
              <w:rPr>
                <w:i/>
              </w:rPr>
              <w:t>Aval étranger</w:t>
            </w:r>
          </w:p>
        </w:tc>
        <w:tc>
          <w:tcPr>
            <w:tcW w:w="2386" w:type="dxa"/>
            <w:vMerge/>
          </w:tcPr>
          <w:p w:rsidR="00F84DB4" w:rsidRDefault="00F84DB4" w:rsidP="00A80080">
            <w:pPr>
              <w:jc w:val="center"/>
            </w:pPr>
          </w:p>
        </w:tc>
        <w:tc>
          <w:tcPr>
            <w:tcW w:w="2262" w:type="dxa"/>
            <w:vMerge/>
          </w:tcPr>
          <w:p w:rsidR="00F84DB4" w:rsidRDefault="00F84DB4" w:rsidP="00A80080">
            <w:pPr>
              <w:jc w:val="center"/>
            </w:pPr>
          </w:p>
        </w:tc>
        <w:tc>
          <w:tcPr>
            <w:tcW w:w="1442" w:type="dxa"/>
            <w:vMerge/>
          </w:tcPr>
          <w:p w:rsidR="00F84DB4" w:rsidRDefault="00F84DB4" w:rsidP="00A80080">
            <w:pPr>
              <w:jc w:val="center"/>
            </w:pPr>
          </w:p>
        </w:tc>
        <w:tc>
          <w:tcPr>
            <w:tcW w:w="2693" w:type="dxa"/>
            <w:vMerge/>
          </w:tcPr>
          <w:p w:rsidR="00F84DB4" w:rsidRDefault="00F84DB4" w:rsidP="00A80080">
            <w:pPr>
              <w:jc w:val="center"/>
            </w:pPr>
          </w:p>
        </w:tc>
      </w:tr>
      <w:tr w:rsidR="00F84DB4" w:rsidTr="00A80080">
        <w:tc>
          <w:tcPr>
            <w:tcW w:w="2240" w:type="dxa"/>
          </w:tcPr>
          <w:p w:rsidR="00F84DB4" w:rsidRDefault="00F84DB4" w:rsidP="00A80080">
            <w:r>
              <w:t>Entrepôt de stockage</w:t>
            </w:r>
          </w:p>
        </w:tc>
        <w:tc>
          <w:tcPr>
            <w:tcW w:w="2386" w:type="dxa"/>
            <w:vMerge/>
          </w:tcPr>
          <w:p w:rsidR="00F84DB4" w:rsidRDefault="00F84DB4" w:rsidP="00A80080">
            <w:pPr>
              <w:jc w:val="center"/>
            </w:pPr>
          </w:p>
        </w:tc>
        <w:tc>
          <w:tcPr>
            <w:tcW w:w="2262" w:type="dxa"/>
            <w:vMerge/>
          </w:tcPr>
          <w:p w:rsidR="00F84DB4" w:rsidRDefault="00F84DB4" w:rsidP="00A80080">
            <w:pPr>
              <w:jc w:val="center"/>
            </w:pPr>
          </w:p>
        </w:tc>
        <w:tc>
          <w:tcPr>
            <w:tcW w:w="1442" w:type="dxa"/>
            <w:vMerge/>
          </w:tcPr>
          <w:p w:rsidR="00F84DB4" w:rsidRDefault="00F84DB4" w:rsidP="00A80080">
            <w:pPr>
              <w:jc w:val="center"/>
            </w:pPr>
          </w:p>
        </w:tc>
        <w:tc>
          <w:tcPr>
            <w:tcW w:w="2693" w:type="dxa"/>
            <w:vMerge/>
          </w:tcPr>
          <w:p w:rsidR="00F84DB4" w:rsidRDefault="00F84DB4" w:rsidP="00A80080">
            <w:pPr>
              <w:jc w:val="center"/>
            </w:pPr>
          </w:p>
        </w:tc>
      </w:tr>
      <w:tr w:rsidR="00F84DB4" w:rsidTr="00A80080">
        <w:tc>
          <w:tcPr>
            <w:tcW w:w="2240" w:type="dxa"/>
          </w:tcPr>
          <w:p w:rsidR="00F84DB4" w:rsidRDefault="00F84DB4" w:rsidP="00A80080">
            <w:r>
              <w:t>Escompte sans recours</w:t>
            </w:r>
          </w:p>
        </w:tc>
        <w:tc>
          <w:tcPr>
            <w:tcW w:w="2386" w:type="dxa"/>
            <w:vMerge/>
          </w:tcPr>
          <w:p w:rsidR="00F84DB4" w:rsidRDefault="00F84DB4" w:rsidP="00A80080">
            <w:pPr>
              <w:jc w:val="center"/>
            </w:pPr>
          </w:p>
        </w:tc>
        <w:tc>
          <w:tcPr>
            <w:tcW w:w="2262" w:type="dxa"/>
          </w:tcPr>
          <w:p w:rsidR="00F84DB4" w:rsidRDefault="00F84DB4" w:rsidP="00A80080">
            <w:pPr>
              <w:jc w:val="center"/>
            </w:pPr>
          </w:p>
        </w:tc>
        <w:tc>
          <w:tcPr>
            <w:tcW w:w="1442" w:type="dxa"/>
            <w:vMerge/>
          </w:tcPr>
          <w:p w:rsidR="00F84DB4" w:rsidRDefault="00F84DB4" w:rsidP="00A80080">
            <w:pPr>
              <w:jc w:val="center"/>
            </w:pPr>
          </w:p>
        </w:tc>
        <w:tc>
          <w:tcPr>
            <w:tcW w:w="2693" w:type="dxa"/>
            <w:vMerge/>
          </w:tcPr>
          <w:p w:rsidR="00F84DB4" w:rsidRDefault="00F84DB4" w:rsidP="00A80080">
            <w:pPr>
              <w:jc w:val="center"/>
            </w:pPr>
          </w:p>
        </w:tc>
      </w:tr>
      <w:tr w:rsidR="00E20359" w:rsidTr="00A80080">
        <w:tc>
          <w:tcPr>
            <w:tcW w:w="2240" w:type="dxa"/>
          </w:tcPr>
          <w:p w:rsidR="00E20359" w:rsidRDefault="00E20359" w:rsidP="00A80080">
            <w:r>
              <w:t>Obligations cautionnées</w:t>
            </w:r>
          </w:p>
        </w:tc>
        <w:tc>
          <w:tcPr>
            <w:tcW w:w="2386" w:type="dxa"/>
          </w:tcPr>
          <w:p w:rsidR="00E20359" w:rsidRDefault="00E20359" w:rsidP="00A80080">
            <w:pPr>
              <w:jc w:val="center"/>
            </w:pPr>
            <w:r>
              <w:t>1 000</w:t>
            </w:r>
          </w:p>
        </w:tc>
        <w:tc>
          <w:tcPr>
            <w:tcW w:w="2262" w:type="dxa"/>
          </w:tcPr>
          <w:p w:rsidR="00E20359" w:rsidRDefault="00E20359" w:rsidP="00A80080">
            <w:pPr>
              <w:jc w:val="center"/>
            </w:pPr>
            <w:r>
              <w:t>0,5%</w:t>
            </w:r>
          </w:p>
        </w:tc>
        <w:tc>
          <w:tcPr>
            <w:tcW w:w="1442" w:type="dxa"/>
          </w:tcPr>
          <w:p w:rsidR="00E20359" w:rsidRDefault="00E20359" w:rsidP="00A80080">
            <w:pPr>
              <w:jc w:val="center"/>
            </w:pPr>
            <w:r>
              <w:t>Utilisée</w:t>
            </w:r>
          </w:p>
        </w:tc>
        <w:tc>
          <w:tcPr>
            <w:tcW w:w="2693" w:type="dxa"/>
          </w:tcPr>
          <w:p w:rsidR="00E20359" w:rsidRDefault="00F84DB4" w:rsidP="00A80080">
            <w:pPr>
              <w:jc w:val="center"/>
            </w:pPr>
            <w:r>
              <w:t>121,84%</w:t>
            </w:r>
          </w:p>
        </w:tc>
      </w:tr>
      <w:tr w:rsidR="00E20359" w:rsidTr="00A80080">
        <w:tc>
          <w:tcPr>
            <w:tcW w:w="2240" w:type="dxa"/>
          </w:tcPr>
          <w:p w:rsidR="00E20359" w:rsidRDefault="00E20359" w:rsidP="00A80080">
            <w:r>
              <w:t>Crédit d’enlèvement</w:t>
            </w:r>
          </w:p>
        </w:tc>
        <w:tc>
          <w:tcPr>
            <w:tcW w:w="2386" w:type="dxa"/>
          </w:tcPr>
          <w:p w:rsidR="00E20359" w:rsidRDefault="00E20359" w:rsidP="00A80080">
            <w:pPr>
              <w:jc w:val="center"/>
            </w:pPr>
            <w:r>
              <w:t>2 000</w:t>
            </w:r>
          </w:p>
        </w:tc>
        <w:tc>
          <w:tcPr>
            <w:tcW w:w="2262" w:type="dxa"/>
          </w:tcPr>
          <w:p w:rsidR="00E20359" w:rsidRDefault="00E20359" w:rsidP="00A80080">
            <w:pPr>
              <w:jc w:val="center"/>
            </w:pPr>
            <w:r>
              <w:t>0,5%</w:t>
            </w:r>
          </w:p>
        </w:tc>
        <w:tc>
          <w:tcPr>
            <w:tcW w:w="1442" w:type="dxa"/>
          </w:tcPr>
          <w:p w:rsidR="00E20359" w:rsidRDefault="00E20359" w:rsidP="00A80080">
            <w:pPr>
              <w:jc w:val="center"/>
            </w:pPr>
            <w:r>
              <w:t>Utilisée</w:t>
            </w:r>
          </w:p>
        </w:tc>
        <w:tc>
          <w:tcPr>
            <w:tcW w:w="2693" w:type="dxa"/>
          </w:tcPr>
          <w:p w:rsidR="00E20359" w:rsidRDefault="00F84DB4" w:rsidP="00A80080">
            <w:pPr>
              <w:jc w:val="center"/>
            </w:pPr>
            <w:r>
              <w:t>7,56%</w:t>
            </w:r>
          </w:p>
        </w:tc>
      </w:tr>
      <w:tr w:rsidR="00E20359" w:rsidTr="00A80080">
        <w:tc>
          <w:tcPr>
            <w:tcW w:w="2240" w:type="dxa"/>
          </w:tcPr>
          <w:p w:rsidR="00E20359" w:rsidRDefault="00E20359" w:rsidP="00A80080">
            <w:r>
              <w:t>Cautions diverses</w:t>
            </w:r>
          </w:p>
        </w:tc>
        <w:tc>
          <w:tcPr>
            <w:tcW w:w="2386" w:type="dxa"/>
          </w:tcPr>
          <w:p w:rsidR="00E20359" w:rsidRDefault="00E20359" w:rsidP="00A80080">
            <w:pPr>
              <w:jc w:val="center"/>
            </w:pPr>
            <w:r>
              <w:t>500</w:t>
            </w:r>
          </w:p>
        </w:tc>
        <w:tc>
          <w:tcPr>
            <w:tcW w:w="2262" w:type="dxa"/>
          </w:tcPr>
          <w:p w:rsidR="00E20359" w:rsidRDefault="00E20359" w:rsidP="00A80080">
            <w:pPr>
              <w:jc w:val="center"/>
            </w:pPr>
            <w:r>
              <w:t>0,5%</w:t>
            </w:r>
          </w:p>
        </w:tc>
        <w:tc>
          <w:tcPr>
            <w:tcW w:w="1442" w:type="dxa"/>
          </w:tcPr>
          <w:p w:rsidR="00E20359" w:rsidRDefault="00E20359" w:rsidP="00A80080">
            <w:pPr>
              <w:jc w:val="center"/>
            </w:pPr>
            <w:r>
              <w:t>Utilisée</w:t>
            </w:r>
          </w:p>
        </w:tc>
        <w:tc>
          <w:tcPr>
            <w:tcW w:w="2693" w:type="dxa"/>
          </w:tcPr>
          <w:p w:rsidR="00E20359" w:rsidRDefault="00F84DB4" w:rsidP="00A80080">
            <w:pPr>
              <w:jc w:val="center"/>
            </w:pPr>
            <w:r>
              <w:t>68,64%</w:t>
            </w:r>
          </w:p>
        </w:tc>
      </w:tr>
      <w:tr w:rsidR="00B83CC0" w:rsidTr="00A80080">
        <w:tc>
          <w:tcPr>
            <w:tcW w:w="2240" w:type="dxa"/>
          </w:tcPr>
          <w:p w:rsidR="00B83CC0" w:rsidRDefault="00B83CC0" w:rsidP="00A80080">
            <w:r>
              <w:t>Cautions provisoires</w:t>
            </w:r>
          </w:p>
        </w:tc>
        <w:tc>
          <w:tcPr>
            <w:tcW w:w="2386" w:type="dxa"/>
            <w:vMerge w:val="restart"/>
            <w:vAlign w:val="center"/>
          </w:tcPr>
          <w:p w:rsidR="00B83CC0" w:rsidRDefault="00B83CC0" w:rsidP="00A80080">
            <w:pPr>
              <w:jc w:val="center"/>
            </w:pPr>
            <w:r>
              <w:t>200</w:t>
            </w:r>
          </w:p>
        </w:tc>
        <w:tc>
          <w:tcPr>
            <w:tcW w:w="2262" w:type="dxa"/>
            <w:vMerge w:val="restart"/>
            <w:vAlign w:val="center"/>
          </w:tcPr>
          <w:p w:rsidR="00B83CC0" w:rsidRDefault="00B83CC0" w:rsidP="00A80080">
            <w:pPr>
              <w:jc w:val="center"/>
            </w:pPr>
            <w:r>
              <w:t>0,5%</w:t>
            </w:r>
          </w:p>
        </w:tc>
        <w:tc>
          <w:tcPr>
            <w:tcW w:w="1442" w:type="dxa"/>
            <w:vMerge w:val="restart"/>
            <w:vAlign w:val="center"/>
          </w:tcPr>
          <w:p w:rsidR="00B83CC0" w:rsidRDefault="00B83CC0" w:rsidP="00A80080">
            <w:pPr>
              <w:jc w:val="center"/>
            </w:pPr>
            <w:r>
              <w:t>Non utilisée</w:t>
            </w:r>
          </w:p>
        </w:tc>
        <w:tc>
          <w:tcPr>
            <w:tcW w:w="2693" w:type="dxa"/>
            <w:vMerge w:val="restart"/>
            <w:shd w:val="clear" w:color="auto" w:fill="D9D9D9" w:themeFill="background1" w:themeFillShade="D9"/>
          </w:tcPr>
          <w:p w:rsidR="00B83CC0" w:rsidRDefault="00B83CC0" w:rsidP="00A80080">
            <w:pPr>
              <w:jc w:val="center"/>
            </w:pPr>
          </w:p>
        </w:tc>
      </w:tr>
      <w:tr w:rsidR="00B83CC0" w:rsidTr="00A80080">
        <w:tc>
          <w:tcPr>
            <w:tcW w:w="2240" w:type="dxa"/>
          </w:tcPr>
          <w:p w:rsidR="00B83CC0" w:rsidRDefault="00B83CC0" w:rsidP="00A80080">
            <w:r>
              <w:t>Cautions définitives</w:t>
            </w:r>
          </w:p>
        </w:tc>
        <w:tc>
          <w:tcPr>
            <w:tcW w:w="2386" w:type="dxa"/>
            <w:vMerge/>
          </w:tcPr>
          <w:p w:rsidR="00B83CC0" w:rsidRDefault="00B83CC0" w:rsidP="00A80080">
            <w:pPr>
              <w:jc w:val="center"/>
            </w:pPr>
          </w:p>
        </w:tc>
        <w:tc>
          <w:tcPr>
            <w:tcW w:w="2262" w:type="dxa"/>
            <w:vMerge/>
          </w:tcPr>
          <w:p w:rsidR="00B83CC0" w:rsidRDefault="00B83CC0" w:rsidP="00A80080">
            <w:pPr>
              <w:jc w:val="center"/>
            </w:pPr>
          </w:p>
        </w:tc>
        <w:tc>
          <w:tcPr>
            <w:tcW w:w="1442" w:type="dxa"/>
            <w:vMerge/>
          </w:tcPr>
          <w:p w:rsidR="00B83CC0" w:rsidRDefault="00B83CC0" w:rsidP="00A80080">
            <w:pPr>
              <w:jc w:val="center"/>
            </w:pPr>
          </w:p>
        </w:tc>
        <w:tc>
          <w:tcPr>
            <w:tcW w:w="2693" w:type="dxa"/>
            <w:vMerge/>
            <w:shd w:val="clear" w:color="auto" w:fill="D9D9D9" w:themeFill="background1" w:themeFillShade="D9"/>
          </w:tcPr>
          <w:p w:rsidR="00B83CC0" w:rsidRDefault="00B83CC0" w:rsidP="00A80080">
            <w:pPr>
              <w:jc w:val="center"/>
            </w:pPr>
          </w:p>
        </w:tc>
      </w:tr>
    </w:tbl>
    <w:tbl>
      <w:tblPr>
        <w:tblStyle w:val="Grilledutableau"/>
        <w:tblpPr w:leftFromText="141" w:rightFromText="141" w:vertAnchor="page" w:horzAnchor="margin" w:tblpXSpec="center" w:tblpY="8896"/>
        <w:tblW w:w="11023" w:type="dxa"/>
        <w:tblLook w:val="04A0" w:firstRow="1" w:lastRow="0" w:firstColumn="1" w:lastColumn="0" w:noHBand="0" w:noVBand="1"/>
      </w:tblPr>
      <w:tblGrid>
        <w:gridCol w:w="2240"/>
        <w:gridCol w:w="2386"/>
        <w:gridCol w:w="2262"/>
        <w:gridCol w:w="1442"/>
        <w:gridCol w:w="2693"/>
      </w:tblGrid>
      <w:tr w:rsidR="00E20359" w:rsidTr="00A80080">
        <w:tc>
          <w:tcPr>
            <w:tcW w:w="11023" w:type="dxa"/>
            <w:gridSpan w:val="5"/>
          </w:tcPr>
          <w:p w:rsidR="00E20359" w:rsidRPr="00806CF4" w:rsidRDefault="00E20359" w:rsidP="00A80080">
            <w:pPr>
              <w:jc w:val="center"/>
              <w:rPr>
                <w:b/>
              </w:rPr>
            </w:pPr>
            <w:r>
              <w:rPr>
                <w:b/>
              </w:rPr>
              <w:t xml:space="preserve">SGMB – Echéance au </w:t>
            </w:r>
            <w:r w:rsidRPr="00F84DB4">
              <w:rPr>
                <w:b/>
              </w:rPr>
              <w:t>30/06/</w:t>
            </w:r>
            <w:r w:rsidRPr="00806CF4">
              <w:rPr>
                <w:b/>
                <w:color w:val="FF0000"/>
              </w:rPr>
              <w:t>19</w:t>
            </w:r>
          </w:p>
        </w:tc>
      </w:tr>
      <w:tr w:rsidR="00E20359" w:rsidTr="00A80080">
        <w:tc>
          <w:tcPr>
            <w:tcW w:w="2240" w:type="dxa"/>
          </w:tcPr>
          <w:p w:rsidR="00E20359" w:rsidRPr="00806CF4" w:rsidRDefault="00E20359" w:rsidP="00A80080">
            <w:pPr>
              <w:jc w:val="center"/>
              <w:rPr>
                <w:b/>
              </w:rPr>
            </w:pPr>
            <w:r w:rsidRPr="00806CF4">
              <w:rPr>
                <w:b/>
              </w:rPr>
              <w:t>Ligne</w:t>
            </w:r>
          </w:p>
        </w:tc>
        <w:tc>
          <w:tcPr>
            <w:tcW w:w="2386" w:type="dxa"/>
          </w:tcPr>
          <w:p w:rsidR="00E20359" w:rsidRPr="00806CF4" w:rsidRDefault="00E20359" w:rsidP="00A80080">
            <w:pPr>
              <w:jc w:val="center"/>
              <w:rPr>
                <w:b/>
              </w:rPr>
            </w:pPr>
            <w:r w:rsidRPr="00806CF4">
              <w:rPr>
                <w:b/>
              </w:rPr>
              <w:t>Montant</w:t>
            </w:r>
            <w:r>
              <w:rPr>
                <w:b/>
              </w:rPr>
              <w:t xml:space="preserve"> autorisé en KMAD</w:t>
            </w:r>
          </w:p>
        </w:tc>
        <w:tc>
          <w:tcPr>
            <w:tcW w:w="2262" w:type="dxa"/>
          </w:tcPr>
          <w:p w:rsidR="00E20359" w:rsidRPr="00806CF4" w:rsidRDefault="00E20359" w:rsidP="00A80080">
            <w:pPr>
              <w:jc w:val="center"/>
              <w:rPr>
                <w:b/>
              </w:rPr>
            </w:pPr>
            <w:r>
              <w:rPr>
                <w:b/>
              </w:rPr>
              <w:t>Conditions</w:t>
            </w:r>
          </w:p>
        </w:tc>
        <w:tc>
          <w:tcPr>
            <w:tcW w:w="1442" w:type="dxa"/>
          </w:tcPr>
          <w:p w:rsidR="00E20359" w:rsidRDefault="00E20359" w:rsidP="00A80080">
            <w:pPr>
              <w:jc w:val="center"/>
              <w:rPr>
                <w:b/>
              </w:rPr>
            </w:pPr>
            <w:r>
              <w:rPr>
                <w:b/>
              </w:rPr>
              <w:t>Statut ligne</w:t>
            </w:r>
          </w:p>
        </w:tc>
        <w:tc>
          <w:tcPr>
            <w:tcW w:w="2693" w:type="dxa"/>
          </w:tcPr>
          <w:p w:rsidR="00E20359" w:rsidRDefault="00E20359" w:rsidP="00A80080">
            <w:pPr>
              <w:jc w:val="center"/>
              <w:rPr>
                <w:b/>
              </w:rPr>
            </w:pPr>
            <w:r>
              <w:rPr>
                <w:b/>
              </w:rPr>
              <w:t>% exploité sur total autorisé</w:t>
            </w:r>
            <w:r w:rsidR="009C19C8">
              <w:rPr>
                <w:b/>
              </w:rPr>
              <w:t xml:space="preserve"> (au 31/08/18)</w:t>
            </w:r>
          </w:p>
        </w:tc>
      </w:tr>
      <w:tr w:rsidR="00E20359" w:rsidTr="00A80080">
        <w:tc>
          <w:tcPr>
            <w:tcW w:w="2240" w:type="dxa"/>
          </w:tcPr>
          <w:p w:rsidR="00E20359" w:rsidRDefault="00E20359" w:rsidP="00A80080">
            <w:r>
              <w:t>Caisse</w:t>
            </w:r>
          </w:p>
        </w:tc>
        <w:tc>
          <w:tcPr>
            <w:tcW w:w="2386" w:type="dxa"/>
          </w:tcPr>
          <w:p w:rsidR="00E20359" w:rsidRDefault="00E20359" w:rsidP="00A80080">
            <w:pPr>
              <w:jc w:val="center"/>
            </w:pPr>
            <w:r>
              <w:t>3 000</w:t>
            </w:r>
          </w:p>
        </w:tc>
        <w:tc>
          <w:tcPr>
            <w:tcW w:w="2262" w:type="dxa"/>
          </w:tcPr>
          <w:p w:rsidR="00E20359" w:rsidRDefault="00E20359" w:rsidP="00A80080">
            <w:pPr>
              <w:jc w:val="center"/>
            </w:pPr>
            <w:r>
              <w:t>5,34%</w:t>
            </w:r>
          </w:p>
        </w:tc>
        <w:tc>
          <w:tcPr>
            <w:tcW w:w="1442" w:type="dxa"/>
          </w:tcPr>
          <w:p w:rsidR="00E20359" w:rsidRDefault="00E20359" w:rsidP="00A80080">
            <w:pPr>
              <w:jc w:val="center"/>
            </w:pPr>
            <w:r>
              <w:t>Utilisée</w:t>
            </w:r>
          </w:p>
        </w:tc>
        <w:tc>
          <w:tcPr>
            <w:tcW w:w="2693" w:type="dxa"/>
          </w:tcPr>
          <w:p w:rsidR="00E20359" w:rsidRDefault="009C19C8" w:rsidP="00A80080">
            <w:pPr>
              <w:jc w:val="center"/>
            </w:pPr>
            <w:r>
              <w:t>99,88%</w:t>
            </w:r>
          </w:p>
        </w:tc>
      </w:tr>
      <w:tr w:rsidR="00E20359" w:rsidTr="00A80080">
        <w:tc>
          <w:tcPr>
            <w:tcW w:w="2240" w:type="dxa"/>
          </w:tcPr>
          <w:p w:rsidR="00E20359" w:rsidRDefault="00E20359" w:rsidP="00A80080">
            <w:r>
              <w:t>Escompte commercial</w:t>
            </w:r>
          </w:p>
        </w:tc>
        <w:tc>
          <w:tcPr>
            <w:tcW w:w="2386" w:type="dxa"/>
          </w:tcPr>
          <w:p w:rsidR="00E20359" w:rsidRDefault="00E20359" w:rsidP="00A80080">
            <w:pPr>
              <w:jc w:val="center"/>
            </w:pPr>
            <w:r>
              <w:t>4 000</w:t>
            </w:r>
          </w:p>
        </w:tc>
        <w:tc>
          <w:tcPr>
            <w:tcW w:w="2262" w:type="dxa"/>
          </w:tcPr>
          <w:p w:rsidR="00E20359" w:rsidRDefault="00E20359" w:rsidP="00A80080">
            <w:pPr>
              <w:jc w:val="center"/>
            </w:pPr>
            <w:r>
              <w:t>5,34%</w:t>
            </w:r>
          </w:p>
        </w:tc>
        <w:tc>
          <w:tcPr>
            <w:tcW w:w="1442" w:type="dxa"/>
          </w:tcPr>
          <w:p w:rsidR="00E20359" w:rsidRDefault="00E20359" w:rsidP="00A80080">
            <w:pPr>
              <w:jc w:val="center"/>
            </w:pPr>
            <w:r>
              <w:t>Utilisée</w:t>
            </w:r>
          </w:p>
        </w:tc>
        <w:tc>
          <w:tcPr>
            <w:tcW w:w="2693" w:type="dxa"/>
          </w:tcPr>
          <w:p w:rsidR="00E20359" w:rsidRDefault="009C19C8" w:rsidP="00A80080">
            <w:pPr>
              <w:jc w:val="center"/>
            </w:pPr>
            <w:r>
              <w:t>16,10%</w:t>
            </w:r>
          </w:p>
        </w:tc>
      </w:tr>
      <w:tr w:rsidR="009C19C8" w:rsidTr="00A80080">
        <w:tc>
          <w:tcPr>
            <w:tcW w:w="2240" w:type="dxa"/>
          </w:tcPr>
          <w:p w:rsidR="009C19C8" w:rsidRDefault="009C19C8" w:rsidP="00A80080">
            <w:r>
              <w:t>Crédit documentaire</w:t>
            </w:r>
          </w:p>
        </w:tc>
        <w:tc>
          <w:tcPr>
            <w:tcW w:w="2386" w:type="dxa"/>
            <w:vMerge w:val="restart"/>
            <w:vAlign w:val="center"/>
          </w:tcPr>
          <w:p w:rsidR="009C19C8" w:rsidRDefault="009C19C8" w:rsidP="00A80080">
            <w:pPr>
              <w:jc w:val="center"/>
            </w:pPr>
            <w:r>
              <w:t>3 000</w:t>
            </w:r>
          </w:p>
        </w:tc>
        <w:tc>
          <w:tcPr>
            <w:tcW w:w="2262" w:type="dxa"/>
            <w:vMerge w:val="restart"/>
            <w:vAlign w:val="center"/>
          </w:tcPr>
          <w:p w:rsidR="009C19C8" w:rsidRDefault="009C19C8" w:rsidP="00A80080">
            <w:pPr>
              <w:jc w:val="center"/>
            </w:pPr>
            <w:r>
              <w:t>-</w:t>
            </w:r>
          </w:p>
        </w:tc>
        <w:tc>
          <w:tcPr>
            <w:tcW w:w="1442" w:type="dxa"/>
            <w:vMerge w:val="restart"/>
            <w:vAlign w:val="center"/>
          </w:tcPr>
          <w:p w:rsidR="009C19C8" w:rsidRDefault="009C19C8" w:rsidP="00A80080">
            <w:pPr>
              <w:jc w:val="center"/>
            </w:pPr>
            <w:r>
              <w:t>Utilisée</w:t>
            </w:r>
          </w:p>
        </w:tc>
        <w:tc>
          <w:tcPr>
            <w:tcW w:w="2693" w:type="dxa"/>
            <w:vMerge w:val="restart"/>
            <w:vAlign w:val="center"/>
          </w:tcPr>
          <w:p w:rsidR="009C19C8" w:rsidRDefault="009C19C8" w:rsidP="00A80080">
            <w:pPr>
              <w:jc w:val="center"/>
            </w:pPr>
            <w:r>
              <w:t>21,23%</w:t>
            </w:r>
          </w:p>
        </w:tc>
      </w:tr>
      <w:tr w:rsidR="009C19C8" w:rsidTr="00A80080">
        <w:tc>
          <w:tcPr>
            <w:tcW w:w="2240" w:type="dxa"/>
          </w:tcPr>
          <w:p w:rsidR="009C19C8" w:rsidRDefault="009C19C8" w:rsidP="00A80080">
            <w:r>
              <w:t>Import refinancement</w:t>
            </w:r>
          </w:p>
        </w:tc>
        <w:tc>
          <w:tcPr>
            <w:tcW w:w="2386" w:type="dxa"/>
            <w:vMerge/>
          </w:tcPr>
          <w:p w:rsidR="009C19C8" w:rsidRDefault="009C19C8" w:rsidP="00A80080">
            <w:pPr>
              <w:jc w:val="center"/>
            </w:pPr>
          </w:p>
        </w:tc>
        <w:tc>
          <w:tcPr>
            <w:tcW w:w="2262" w:type="dxa"/>
            <w:vMerge/>
          </w:tcPr>
          <w:p w:rsidR="009C19C8" w:rsidRDefault="009C19C8" w:rsidP="00A80080">
            <w:pPr>
              <w:jc w:val="center"/>
            </w:pPr>
          </w:p>
        </w:tc>
        <w:tc>
          <w:tcPr>
            <w:tcW w:w="1442" w:type="dxa"/>
            <w:vMerge/>
          </w:tcPr>
          <w:p w:rsidR="009C19C8" w:rsidRDefault="009C19C8" w:rsidP="00A80080">
            <w:pPr>
              <w:jc w:val="center"/>
            </w:pPr>
          </w:p>
        </w:tc>
        <w:tc>
          <w:tcPr>
            <w:tcW w:w="2693" w:type="dxa"/>
            <w:vMerge/>
          </w:tcPr>
          <w:p w:rsidR="009C19C8" w:rsidRDefault="009C19C8" w:rsidP="00A80080">
            <w:pPr>
              <w:jc w:val="center"/>
            </w:pPr>
          </w:p>
        </w:tc>
      </w:tr>
      <w:tr w:rsidR="009C19C8" w:rsidTr="00A80080">
        <w:tc>
          <w:tcPr>
            <w:tcW w:w="2240" w:type="dxa"/>
          </w:tcPr>
          <w:p w:rsidR="009C19C8" w:rsidRDefault="009C19C8" w:rsidP="00A80080">
            <w:r>
              <w:t>Aval local</w:t>
            </w:r>
          </w:p>
        </w:tc>
        <w:tc>
          <w:tcPr>
            <w:tcW w:w="2386" w:type="dxa"/>
            <w:vMerge/>
          </w:tcPr>
          <w:p w:rsidR="009C19C8" w:rsidRDefault="009C19C8" w:rsidP="00A80080">
            <w:pPr>
              <w:jc w:val="center"/>
            </w:pPr>
          </w:p>
        </w:tc>
        <w:tc>
          <w:tcPr>
            <w:tcW w:w="2262" w:type="dxa"/>
            <w:vMerge/>
          </w:tcPr>
          <w:p w:rsidR="009C19C8" w:rsidRDefault="009C19C8" w:rsidP="00A80080">
            <w:pPr>
              <w:jc w:val="center"/>
            </w:pPr>
          </w:p>
        </w:tc>
        <w:tc>
          <w:tcPr>
            <w:tcW w:w="1442" w:type="dxa"/>
            <w:vMerge/>
          </w:tcPr>
          <w:p w:rsidR="009C19C8" w:rsidRDefault="009C19C8" w:rsidP="00A80080">
            <w:pPr>
              <w:jc w:val="center"/>
            </w:pPr>
          </w:p>
        </w:tc>
        <w:tc>
          <w:tcPr>
            <w:tcW w:w="2693" w:type="dxa"/>
            <w:vMerge/>
          </w:tcPr>
          <w:p w:rsidR="009C19C8" w:rsidRDefault="009C19C8" w:rsidP="00A80080">
            <w:pPr>
              <w:jc w:val="center"/>
            </w:pPr>
          </w:p>
        </w:tc>
      </w:tr>
      <w:tr w:rsidR="009C19C8" w:rsidTr="00A80080">
        <w:tc>
          <w:tcPr>
            <w:tcW w:w="2240" w:type="dxa"/>
          </w:tcPr>
          <w:p w:rsidR="009C19C8" w:rsidRDefault="009C19C8" w:rsidP="00A80080">
            <w:r>
              <w:t>Aval étranger</w:t>
            </w:r>
          </w:p>
        </w:tc>
        <w:tc>
          <w:tcPr>
            <w:tcW w:w="2386" w:type="dxa"/>
            <w:vMerge/>
          </w:tcPr>
          <w:p w:rsidR="009C19C8" w:rsidRDefault="009C19C8" w:rsidP="00A80080">
            <w:pPr>
              <w:jc w:val="center"/>
            </w:pPr>
          </w:p>
        </w:tc>
        <w:tc>
          <w:tcPr>
            <w:tcW w:w="2262" w:type="dxa"/>
            <w:vMerge/>
          </w:tcPr>
          <w:p w:rsidR="009C19C8" w:rsidRDefault="009C19C8" w:rsidP="00A80080">
            <w:pPr>
              <w:jc w:val="center"/>
            </w:pPr>
          </w:p>
        </w:tc>
        <w:tc>
          <w:tcPr>
            <w:tcW w:w="1442" w:type="dxa"/>
            <w:vMerge/>
          </w:tcPr>
          <w:p w:rsidR="009C19C8" w:rsidRDefault="009C19C8" w:rsidP="00A80080">
            <w:pPr>
              <w:jc w:val="center"/>
            </w:pPr>
          </w:p>
        </w:tc>
        <w:tc>
          <w:tcPr>
            <w:tcW w:w="2693" w:type="dxa"/>
            <w:vMerge/>
          </w:tcPr>
          <w:p w:rsidR="009C19C8" w:rsidRDefault="009C19C8" w:rsidP="00A80080">
            <w:pPr>
              <w:jc w:val="center"/>
            </w:pPr>
          </w:p>
        </w:tc>
      </w:tr>
      <w:tr w:rsidR="00B83CC0" w:rsidTr="00A80080">
        <w:tc>
          <w:tcPr>
            <w:tcW w:w="2240" w:type="dxa"/>
          </w:tcPr>
          <w:p w:rsidR="00B83CC0" w:rsidRDefault="00B83CC0" w:rsidP="00A80080">
            <w:r>
              <w:t>Admission temporaire</w:t>
            </w:r>
          </w:p>
        </w:tc>
        <w:tc>
          <w:tcPr>
            <w:tcW w:w="2386" w:type="dxa"/>
          </w:tcPr>
          <w:p w:rsidR="00B83CC0" w:rsidRDefault="00B83CC0" w:rsidP="00A80080">
            <w:pPr>
              <w:jc w:val="center"/>
            </w:pPr>
            <w:r>
              <w:t>500</w:t>
            </w:r>
          </w:p>
        </w:tc>
        <w:tc>
          <w:tcPr>
            <w:tcW w:w="2262" w:type="dxa"/>
          </w:tcPr>
          <w:p w:rsidR="00B83CC0" w:rsidRDefault="00052DDA" w:rsidP="00A80080">
            <w:pPr>
              <w:jc w:val="center"/>
            </w:pPr>
            <w:r>
              <w:t>-</w:t>
            </w:r>
          </w:p>
        </w:tc>
        <w:tc>
          <w:tcPr>
            <w:tcW w:w="1442" w:type="dxa"/>
          </w:tcPr>
          <w:p w:rsidR="00B83CC0" w:rsidRDefault="00B83CC0" w:rsidP="00A80080">
            <w:pPr>
              <w:jc w:val="center"/>
            </w:pPr>
            <w:r>
              <w:t>Utilisée</w:t>
            </w:r>
          </w:p>
        </w:tc>
        <w:tc>
          <w:tcPr>
            <w:tcW w:w="2693" w:type="dxa"/>
          </w:tcPr>
          <w:p w:rsidR="00B83CC0" w:rsidRDefault="009C19C8" w:rsidP="00A80080">
            <w:pPr>
              <w:jc w:val="center"/>
            </w:pPr>
            <w:r>
              <w:t>47,66%</w:t>
            </w:r>
          </w:p>
        </w:tc>
      </w:tr>
      <w:tr w:rsidR="00E20359" w:rsidTr="00A80080">
        <w:tc>
          <w:tcPr>
            <w:tcW w:w="2240" w:type="dxa"/>
          </w:tcPr>
          <w:p w:rsidR="00E20359" w:rsidRDefault="00E20359" w:rsidP="00A80080">
            <w:r>
              <w:t>Crédit d’enlèvement</w:t>
            </w:r>
          </w:p>
        </w:tc>
        <w:tc>
          <w:tcPr>
            <w:tcW w:w="2386" w:type="dxa"/>
          </w:tcPr>
          <w:p w:rsidR="00E20359" w:rsidRDefault="00B83CC0" w:rsidP="00A80080">
            <w:pPr>
              <w:jc w:val="center"/>
            </w:pPr>
            <w:r>
              <w:t>5</w:t>
            </w:r>
            <w:r w:rsidR="00E20359">
              <w:t>00</w:t>
            </w:r>
          </w:p>
        </w:tc>
        <w:tc>
          <w:tcPr>
            <w:tcW w:w="2262" w:type="dxa"/>
          </w:tcPr>
          <w:p w:rsidR="00E20359" w:rsidRDefault="00052DDA" w:rsidP="00A80080">
            <w:pPr>
              <w:jc w:val="center"/>
            </w:pPr>
            <w:r>
              <w:t>-</w:t>
            </w:r>
          </w:p>
        </w:tc>
        <w:tc>
          <w:tcPr>
            <w:tcW w:w="1442" w:type="dxa"/>
          </w:tcPr>
          <w:p w:rsidR="00E20359" w:rsidRDefault="00E20359" w:rsidP="00A80080">
            <w:pPr>
              <w:jc w:val="center"/>
            </w:pPr>
            <w:r>
              <w:t>Utilisée</w:t>
            </w:r>
          </w:p>
        </w:tc>
        <w:tc>
          <w:tcPr>
            <w:tcW w:w="2693" w:type="dxa"/>
          </w:tcPr>
          <w:p w:rsidR="00E20359" w:rsidRDefault="009C19C8" w:rsidP="00A80080">
            <w:pPr>
              <w:jc w:val="center"/>
            </w:pPr>
            <w:r>
              <w:t>0%</w:t>
            </w:r>
          </w:p>
        </w:tc>
      </w:tr>
    </w:tbl>
    <w:p w:rsidR="00E20359" w:rsidRDefault="00E20359" w:rsidP="00E20359">
      <w:pPr>
        <w:spacing w:after="0" w:line="240" w:lineRule="auto"/>
      </w:pPr>
    </w:p>
    <w:p w:rsidR="00E20359" w:rsidRDefault="00E20359" w:rsidP="00E20359">
      <w:pPr>
        <w:spacing w:after="0" w:line="240" w:lineRule="auto"/>
      </w:pPr>
    </w:p>
    <w:p w:rsidR="0013748B" w:rsidRDefault="0013748B" w:rsidP="00E20359">
      <w:pPr>
        <w:spacing w:after="0" w:line="240" w:lineRule="auto"/>
      </w:pPr>
    </w:p>
    <w:p w:rsidR="00E20359" w:rsidRDefault="00B83CC0" w:rsidP="00B83CC0">
      <w:pPr>
        <w:pStyle w:val="Paragraphedeliste"/>
        <w:numPr>
          <w:ilvl w:val="0"/>
          <w:numId w:val="1"/>
        </w:numPr>
        <w:spacing w:after="0" w:line="240" w:lineRule="auto"/>
      </w:pPr>
      <w:r>
        <w:t>Points à débattre :</w:t>
      </w:r>
    </w:p>
    <w:p w:rsidR="001A1554" w:rsidRDefault="001A1554" w:rsidP="001A1554">
      <w:pPr>
        <w:pStyle w:val="Paragraphedeliste"/>
        <w:spacing w:after="0" w:line="240" w:lineRule="auto"/>
      </w:pPr>
    </w:p>
    <w:p w:rsidR="001A1554" w:rsidRDefault="001A1554" w:rsidP="00B83CC0">
      <w:pPr>
        <w:pStyle w:val="Paragraphedeliste"/>
        <w:numPr>
          <w:ilvl w:val="1"/>
          <w:numId w:val="1"/>
        </w:numPr>
        <w:spacing w:after="0" w:line="240" w:lineRule="auto"/>
      </w:pPr>
      <w:r>
        <w:t>Général :</w:t>
      </w:r>
    </w:p>
    <w:p w:rsidR="001A1554" w:rsidRDefault="001A1554" w:rsidP="001A1554">
      <w:pPr>
        <w:pStyle w:val="Paragraphedeliste"/>
        <w:spacing w:after="0" w:line="240" w:lineRule="auto"/>
        <w:ind w:left="1440"/>
      </w:pPr>
    </w:p>
    <w:p w:rsidR="001A1554" w:rsidRDefault="001A1554" w:rsidP="009C19C8">
      <w:pPr>
        <w:spacing w:after="0" w:line="240" w:lineRule="auto"/>
        <w:jc w:val="both"/>
      </w:pPr>
      <w:r>
        <w:t>- Même conditions accordées à INTERPAP et à ROBELBOIS (à vérifier)</w:t>
      </w:r>
    </w:p>
    <w:p w:rsidR="001A1554" w:rsidRDefault="001A1554" w:rsidP="009C19C8">
      <w:pPr>
        <w:spacing w:after="0" w:line="240" w:lineRule="auto"/>
        <w:jc w:val="both"/>
      </w:pPr>
      <w:r>
        <w:t>- Suggestion : Revoir à la baisse le nombre de comptes ouverts afin de diminuer les frais bancaires d’une part et éliminer les lignes non exploitées d’autre part.</w:t>
      </w:r>
    </w:p>
    <w:p w:rsidR="00A80080" w:rsidRDefault="00A80080">
      <w:r>
        <w:br w:type="page"/>
      </w:r>
    </w:p>
    <w:p w:rsidR="00B83CC0" w:rsidRDefault="00B83CC0" w:rsidP="009C19C8">
      <w:pPr>
        <w:pStyle w:val="Paragraphedeliste"/>
        <w:numPr>
          <w:ilvl w:val="1"/>
          <w:numId w:val="1"/>
        </w:numPr>
        <w:spacing w:after="0" w:line="240" w:lineRule="auto"/>
        <w:jc w:val="both"/>
      </w:pPr>
      <w:r>
        <w:lastRenderedPageBreak/>
        <w:t>AWB :</w:t>
      </w:r>
    </w:p>
    <w:p w:rsidR="00B83CC0" w:rsidRDefault="00B83CC0" w:rsidP="009C19C8">
      <w:pPr>
        <w:spacing w:after="0" w:line="240" w:lineRule="auto"/>
        <w:jc w:val="both"/>
      </w:pPr>
    </w:p>
    <w:p w:rsidR="0013748B" w:rsidRDefault="00B83CC0" w:rsidP="009C19C8">
      <w:pPr>
        <w:spacing w:after="0" w:line="240" w:lineRule="auto"/>
        <w:jc w:val="both"/>
      </w:pPr>
      <w:r>
        <w:t xml:space="preserve">- </w:t>
      </w:r>
      <w:r w:rsidR="0013748B">
        <w:t xml:space="preserve">A l’issue de l’analyse du tableau ci-dessus, il serait judicieux de procéder à un équilibrage entre les lignes de crédit non exploitées et celles qui nécessitent un réajustement à la hausse (ex : baisse de la ligne « escomptes » ou « crédit enlèvement » au profit de la ligne « découvert » ou « obligations cautionnées »). </w:t>
      </w:r>
    </w:p>
    <w:p w:rsidR="00034B79" w:rsidRDefault="0013748B" w:rsidP="008C0A46">
      <w:pPr>
        <w:spacing w:after="0" w:line="240" w:lineRule="auto"/>
        <w:jc w:val="both"/>
      </w:pPr>
      <w:r>
        <w:t xml:space="preserve">=&gt; </w:t>
      </w:r>
      <w:r w:rsidR="00034B79">
        <w:t>A titre informatif, le total des</w:t>
      </w:r>
      <w:r>
        <w:t xml:space="preserve"> </w:t>
      </w:r>
      <w:r w:rsidR="00034B79">
        <w:t xml:space="preserve">lignes de crédit exploitées au 31/08/2018 (32,7 MMAD) représente </w:t>
      </w:r>
    </w:p>
    <w:p w:rsidR="0013748B" w:rsidRDefault="00A46A8C" w:rsidP="008C0A46">
      <w:pPr>
        <w:spacing w:after="0" w:line="240" w:lineRule="auto"/>
        <w:jc w:val="both"/>
      </w:pPr>
      <w:r>
        <w:t xml:space="preserve">56% </w:t>
      </w:r>
      <w:r w:rsidR="00034B79">
        <w:t xml:space="preserve">du total du C.A réalisé en 2017 (58,15 MMAD </w:t>
      </w:r>
      <w:r>
        <w:t>– hypothèse C.A 2018 idem C.A 2017</w:t>
      </w:r>
      <w:r w:rsidR="00034B79">
        <w:t xml:space="preserve">)  </w:t>
      </w:r>
    </w:p>
    <w:p w:rsidR="008C0A46" w:rsidRDefault="0013748B" w:rsidP="008C0A46">
      <w:pPr>
        <w:spacing w:after="0" w:line="240" w:lineRule="auto"/>
        <w:jc w:val="both"/>
      </w:pPr>
      <w:r>
        <w:t xml:space="preserve">- </w:t>
      </w:r>
      <w:r w:rsidR="008C0A46">
        <w:t xml:space="preserve">Mains levées sur les hypothèques non reçues à ce jour (rappel : 5 titres fonciers du parc SAPINO hypothéqués dans le cadre des 2 CMT d’un montant de 3,6 MMAD et 6 MMAD). Plusieurs relances ont été envoyées par Madame Aicha Alami, restées sans réponse </w:t>
      </w:r>
      <w:r w:rsidR="008C0A46" w:rsidRPr="008C0A46">
        <w:rPr>
          <w:b/>
        </w:rPr>
        <w:t>(P-01)</w:t>
      </w:r>
    </w:p>
    <w:p w:rsidR="00B83CC0" w:rsidRDefault="008C0A46" w:rsidP="008C0A46">
      <w:pPr>
        <w:spacing w:after="0" w:line="240" w:lineRule="auto"/>
        <w:jc w:val="both"/>
      </w:pPr>
      <w:r>
        <w:t>- Cautions d’admissions temporaires en position depuis Août et Septembre 1996 (pour respectivement 288,8 KMAD et 141,9 KMAD). Les frais y afférents sont facturés mensuellement, ceci pour un total de 309,79 MAD (248,68 MAD + 61,11 MAD</w:t>
      </w:r>
      <w:r w:rsidR="00E948ED">
        <w:t xml:space="preserve"> </w:t>
      </w:r>
      <w:r w:rsidR="00E948ED">
        <w:rPr>
          <w:b/>
        </w:rPr>
        <w:t>(P-02</w:t>
      </w:r>
      <w:r>
        <w:t xml:space="preserve">). INTERPAP souhaite obtenir la main levée sur ces cautions. Dans la négative, la société </w:t>
      </w:r>
      <w:r w:rsidR="00E948ED">
        <w:t>peut s’engager via la rédaction d’un écrit officiel</w:t>
      </w:r>
      <w:r>
        <w:t xml:space="preserve"> à régler les montants dus à la Douane si cette dernière venait à les </w:t>
      </w:r>
      <w:r w:rsidR="00E948ED">
        <w:t>réclamer</w:t>
      </w:r>
      <w:r>
        <w:t>.</w:t>
      </w:r>
      <w:r w:rsidR="00E948ED">
        <w:t xml:space="preserve"> Plusieurs relances ont été envoyées par Madame Aicha Alami à Messieurs CHARKAOUI et BERKIA (Agence Mly Youssef) et à Madame BENJELLOUN (CA Hassan 2) </w:t>
      </w:r>
      <w:r w:rsidR="0013748B">
        <w:t>mais</w:t>
      </w:r>
      <w:r w:rsidR="00E948ED">
        <w:t xml:space="preserve"> restées sans réponse</w:t>
      </w:r>
      <w:r w:rsidR="00286E7D">
        <w:t>.</w:t>
      </w:r>
    </w:p>
    <w:p w:rsidR="00E20359" w:rsidRDefault="00E20359" w:rsidP="008C0A46">
      <w:pPr>
        <w:spacing w:after="0" w:line="240" w:lineRule="auto"/>
        <w:jc w:val="both"/>
      </w:pPr>
    </w:p>
    <w:p w:rsidR="008C0A46" w:rsidRDefault="008C0A46" w:rsidP="008C0A46">
      <w:pPr>
        <w:pStyle w:val="Paragraphedeliste"/>
        <w:numPr>
          <w:ilvl w:val="1"/>
          <w:numId w:val="1"/>
        </w:numPr>
        <w:spacing w:after="0" w:line="240" w:lineRule="auto"/>
      </w:pPr>
      <w:r>
        <w:t>SGMB :</w:t>
      </w:r>
    </w:p>
    <w:p w:rsidR="008C0A46" w:rsidRDefault="008C0A46" w:rsidP="008C0A46">
      <w:pPr>
        <w:spacing w:after="0" w:line="240" w:lineRule="auto"/>
        <w:jc w:val="both"/>
      </w:pPr>
    </w:p>
    <w:p w:rsidR="00052DDA" w:rsidRDefault="008C0A46" w:rsidP="008C0A46">
      <w:pPr>
        <w:spacing w:after="0" w:line="240" w:lineRule="auto"/>
        <w:jc w:val="both"/>
      </w:pPr>
      <w:r>
        <w:t>- Caution d’admission temporaire en position depuis Août 1996 pour 238,3 KMAD</w:t>
      </w:r>
      <w:r w:rsidR="00E948ED">
        <w:t>. Les frais y afférents sont facturés mensuellement, ceci pour un total de 7,18 MAD. INTERPAP souhaite obtenir la main levée sur cette caution. Dans la négative, la société peut s’engager via la rédaction d’un écrit officiel à régler les montants dus à la Douane si cette dernière venait à les réclamer.</w:t>
      </w:r>
    </w:p>
    <w:p w:rsidR="00E20359" w:rsidRDefault="00052DDA" w:rsidP="001A1554">
      <w:pPr>
        <w:spacing w:after="0" w:line="240" w:lineRule="auto"/>
        <w:jc w:val="both"/>
      </w:pPr>
      <w:r>
        <w:t xml:space="preserve">- Globalement, INTERPAP ne voit aucun intérêt à poursuivre ses relations avec cette banque (manque d’intérêt, absence de conseil). </w:t>
      </w:r>
      <w:r w:rsidR="001A1554">
        <w:t>Aussi, les pièces bancaires ne parviennent pas en totalité à la société : quels documents doit-on produire pour souscrire à l’offre d’accès à la plateforme électronique de la banque ? Et à quel tarif </w:t>
      </w:r>
      <w:r w:rsidR="005A1C0B">
        <w:t xml:space="preserve">mensuel </w:t>
      </w:r>
      <w:r w:rsidR="001A1554">
        <w:t>? Quels sont les documents électroniques mis à notre disposition ?</w:t>
      </w:r>
    </w:p>
    <w:p w:rsidR="00A80080" w:rsidRDefault="00A80080" w:rsidP="001A1554">
      <w:pPr>
        <w:spacing w:after="0" w:line="240" w:lineRule="auto"/>
        <w:jc w:val="both"/>
      </w:pPr>
    </w:p>
    <w:p w:rsidR="00A80080" w:rsidRPr="00A80080" w:rsidRDefault="00A80080" w:rsidP="00A80080">
      <w:pPr>
        <w:spacing w:after="0" w:line="240" w:lineRule="auto"/>
        <w:rPr>
          <w:b/>
          <w:u w:val="single"/>
        </w:rPr>
      </w:pPr>
      <w:r>
        <w:rPr>
          <w:b/>
          <w:highlight w:val="yellow"/>
          <w:u w:val="single"/>
        </w:rPr>
        <w:t xml:space="preserve">B. POINTS TRAITÉS </w:t>
      </w:r>
      <w:r w:rsidR="00067BFF">
        <w:rPr>
          <w:b/>
          <w:highlight w:val="yellow"/>
          <w:u w:val="single"/>
        </w:rPr>
        <w:t>LORS DE</w:t>
      </w:r>
      <w:r w:rsidRPr="00A80080">
        <w:rPr>
          <w:b/>
          <w:highlight w:val="yellow"/>
          <w:u w:val="single"/>
        </w:rPr>
        <w:t xml:space="preserve"> LA </w:t>
      </w:r>
      <w:r>
        <w:rPr>
          <w:b/>
          <w:highlight w:val="yellow"/>
          <w:u w:val="single"/>
        </w:rPr>
        <w:t>RÉ</w:t>
      </w:r>
      <w:r w:rsidRPr="00A80080">
        <w:rPr>
          <w:b/>
          <w:highlight w:val="yellow"/>
          <w:u w:val="single"/>
        </w:rPr>
        <w:t>UNION :</w:t>
      </w:r>
    </w:p>
    <w:p w:rsidR="00A80080" w:rsidRDefault="00A80080" w:rsidP="001A1554">
      <w:pPr>
        <w:spacing w:after="0" w:line="240" w:lineRule="auto"/>
        <w:jc w:val="both"/>
      </w:pPr>
    </w:p>
    <w:p w:rsidR="00067BFF" w:rsidRDefault="00067BFF" w:rsidP="00067BFF">
      <w:pPr>
        <w:pStyle w:val="Paragraphedeliste"/>
        <w:numPr>
          <w:ilvl w:val="0"/>
          <w:numId w:val="3"/>
        </w:numPr>
        <w:spacing w:after="0" w:line="240" w:lineRule="auto"/>
      </w:pPr>
      <w:r>
        <w:t>AWB :</w:t>
      </w:r>
    </w:p>
    <w:p w:rsidR="00067BFF" w:rsidRDefault="00067BFF" w:rsidP="001A1554">
      <w:pPr>
        <w:spacing w:after="0" w:line="240" w:lineRule="auto"/>
        <w:jc w:val="both"/>
      </w:pPr>
    </w:p>
    <w:p w:rsidR="00834AF3" w:rsidRDefault="00834AF3" w:rsidP="001A1554">
      <w:pPr>
        <w:spacing w:after="0" w:line="240" w:lineRule="auto"/>
        <w:jc w:val="both"/>
      </w:pPr>
      <w:r>
        <w:t>- Possibilité de changer d’agence et de s’orienter vers le centre d’affaire</w:t>
      </w:r>
      <w:r w:rsidR="00067BFF">
        <w:t>s</w:t>
      </w:r>
      <w:r>
        <w:t xml:space="preserve"> DAKAR, ceci pour l’ensemble des sociétés du groupe</w:t>
      </w:r>
      <w:r w:rsidR="00067BFF">
        <w:t>.</w:t>
      </w:r>
    </w:p>
    <w:p w:rsidR="00834AF3" w:rsidRDefault="00067BFF" w:rsidP="001A1554">
      <w:pPr>
        <w:spacing w:after="0" w:line="240" w:lineRule="auto"/>
        <w:jc w:val="both"/>
      </w:pPr>
      <w:r>
        <w:t>- Meilleure maitrise et exploitation des d</w:t>
      </w:r>
      <w:r w:rsidR="00834AF3">
        <w:t>ispositif</w:t>
      </w:r>
      <w:r>
        <w:t>s</w:t>
      </w:r>
      <w:r w:rsidR="00834AF3">
        <w:t xml:space="preserve"> de crédit</w:t>
      </w:r>
      <w:r>
        <w:t xml:space="preserve"> octroyés à la société</w:t>
      </w:r>
      <w:r w:rsidR="00834AF3">
        <w:t xml:space="preserve"> : l’objectif est de réussir à jongler avec les différentes lignes entre les différentes banques </w:t>
      </w:r>
      <w:r>
        <w:t>à travers</w:t>
      </w:r>
      <w:r w:rsidR="00834AF3">
        <w:t xml:space="preserve"> le transfert/suppression d’une ligne d’une banque A vers/ au profit d’une banque B si les conditions/taux sont</w:t>
      </w:r>
      <w:r>
        <w:t xml:space="preserve"> plus</w:t>
      </w:r>
      <w:r w:rsidR="00834AF3">
        <w:t xml:space="preserve"> intéressants.</w:t>
      </w:r>
    </w:p>
    <w:p w:rsidR="00067BFF" w:rsidRDefault="00067BFF" w:rsidP="001A1554">
      <w:pPr>
        <w:spacing w:after="0" w:line="240" w:lineRule="auto"/>
        <w:jc w:val="both"/>
      </w:pPr>
      <w:r>
        <w:t xml:space="preserve">- Principale problématique soulevée : renégociation des durées de refinancement (de 120 jours actuellement à partir de la date d’imputation douanière à 150 jours souhaités) </w:t>
      </w:r>
    </w:p>
    <w:p w:rsidR="00067BFF" w:rsidRDefault="00067BFF" w:rsidP="001A1554">
      <w:pPr>
        <w:spacing w:after="0" w:line="240" w:lineRule="auto"/>
        <w:jc w:val="both"/>
      </w:pPr>
    </w:p>
    <w:p w:rsidR="00067BFF" w:rsidRDefault="00067BFF" w:rsidP="00067BFF">
      <w:pPr>
        <w:pStyle w:val="Paragraphedeliste"/>
        <w:numPr>
          <w:ilvl w:val="0"/>
          <w:numId w:val="3"/>
        </w:numPr>
        <w:spacing w:after="0" w:line="240" w:lineRule="auto"/>
      </w:pPr>
      <w:r>
        <w:t>SGMB :</w:t>
      </w:r>
    </w:p>
    <w:p w:rsidR="00067BFF" w:rsidRDefault="00067BFF" w:rsidP="00067BFF">
      <w:pPr>
        <w:spacing w:after="0" w:line="240" w:lineRule="auto"/>
        <w:jc w:val="both"/>
      </w:pPr>
    </w:p>
    <w:p w:rsidR="00067BFF" w:rsidRDefault="00286D8F" w:rsidP="00067BFF">
      <w:pPr>
        <w:spacing w:after="0" w:line="240" w:lineRule="auto"/>
        <w:jc w:val="both"/>
      </w:pPr>
      <w:r>
        <w:t>- Le d</w:t>
      </w:r>
      <w:r w:rsidR="00067BFF">
        <w:t xml:space="preserve">élai de réception du courrier </w:t>
      </w:r>
      <w:r w:rsidR="000433C2">
        <w:t>pose de nombreux soucis à la société</w:t>
      </w:r>
    </w:p>
    <w:p w:rsidR="00E464FD" w:rsidRDefault="00E464FD" w:rsidP="00067BFF">
      <w:pPr>
        <w:spacing w:after="0" w:line="240" w:lineRule="auto"/>
        <w:jc w:val="both"/>
      </w:pPr>
      <w:r>
        <w:t>-</w:t>
      </w:r>
      <w:r w:rsidR="00BA6706">
        <w:t xml:space="preserve"> Les d</w:t>
      </w:r>
      <w:r>
        <w:t>élai</w:t>
      </w:r>
      <w:r w:rsidR="00BA6706">
        <w:t>s</w:t>
      </w:r>
      <w:r>
        <w:t xml:space="preserve"> de traitement des dossiers d’import</w:t>
      </w:r>
      <w:r w:rsidR="00BA6706">
        <w:t xml:space="preserve"> sont</w:t>
      </w:r>
      <w:r>
        <w:t xml:space="preserve"> longs (</w:t>
      </w:r>
      <w:r w:rsidR="000433C2">
        <w:t xml:space="preserve">procédure de </w:t>
      </w:r>
      <w:r>
        <w:t>validation des certificats d’origine alors que ceux-ci sont certifiées EUR1</w:t>
      </w:r>
      <w:r w:rsidR="000433C2">
        <w:t> : excès de zèle</w:t>
      </w:r>
      <w:r>
        <w:t>)</w:t>
      </w:r>
      <w:r w:rsidR="00660A2A">
        <w:t>. Il en résulte que d’autres concurrents, domiciliés auprès d’une autre banque</w:t>
      </w:r>
      <w:r w:rsidR="00BA6706">
        <w:t xml:space="preserve"> et qui ont importé leurs marchandises via le même bateau</w:t>
      </w:r>
      <w:r w:rsidR="00660A2A">
        <w:t xml:space="preserve">, parviennent à payer leurs fournisseurs plus rapidement. De ce fait, ce retard  </w:t>
      </w:r>
      <w:r w:rsidR="00BA6706">
        <w:t>risque de ternir les relations d’INTERPAP avec ses fournisseurs.</w:t>
      </w:r>
    </w:p>
    <w:p w:rsidR="00067BFF" w:rsidRDefault="00067BFF" w:rsidP="00067BFF">
      <w:pPr>
        <w:spacing w:after="0" w:line="240" w:lineRule="auto"/>
        <w:jc w:val="both"/>
      </w:pPr>
      <w:r>
        <w:lastRenderedPageBreak/>
        <w:t>- La ligne de crédit « Salle de marché » n</w:t>
      </w:r>
      <w:r w:rsidR="000433C2">
        <w:t>’est pas exploitée car onéreuse (renégociation des conditions)</w:t>
      </w:r>
    </w:p>
    <w:p w:rsidR="000433C2" w:rsidRDefault="000433C2" w:rsidP="00067BFF">
      <w:pPr>
        <w:spacing w:after="0" w:line="240" w:lineRule="auto"/>
        <w:jc w:val="both"/>
      </w:pPr>
      <w:r>
        <w:t xml:space="preserve">- </w:t>
      </w:r>
      <w:r w:rsidR="00BA6706">
        <w:t xml:space="preserve">Taux d’escompte : 3,79% pour COMARBOIS contre 5,34% chez INTERPAP (taux préférentiel </w:t>
      </w:r>
      <w:r w:rsidR="003B5135">
        <w:t xml:space="preserve">accordé à COMARBOIS </w:t>
      </w:r>
      <w:r w:rsidR="00BA6706">
        <w:t xml:space="preserve">compte tenu du volume </w:t>
      </w:r>
      <w:r w:rsidR="00B9527A">
        <w:t xml:space="preserve">de transactions </w:t>
      </w:r>
      <w:r w:rsidR="00BA6706">
        <w:t>avec la banque).</w:t>
      </w:r>
    </w:p>
    <w:p w:rsidR="00E464FD" w:rsidRPr="000433C2" w:rsidRDefault="00E464FD" w:rsidP="00067BFF">
      <w:pPr>
        <w:spacing w:after="0" w:line="240" w:lineRule="auto"/>
        <w:jc w:val="both"/>
      </w:pPr>
    </w:p>
    <w:p w:rsidR="00067BFF" w:rsidRDefault="00067BFF" w:rsidP="00067BFF">
      <w:pPr>
        <w:spacing w:after="0" w:line="240" w:lineRule="auto"/>
        <w:jc w:val="both"/>
      </w:pPr>
      <w:bookmarkStart w:id="0" w:name="_GoBack"/>
      <w:bookmarkEnd w:id="0"/>
    </w:p>
    <w:p w:rsidR="00067BFF" w:rsidRDefault="00067BFF" w:rsidP="001A1554">
      <w:pPr>
        <w:spacing w:after="0" w:line="240" w:lineRule="auto"/>
        <w:jc w:val="both"/>
      </w:pPr>
    </w:p>
    <w:sectPr w:rsidR="00067BFF" w:rsidSect="00E20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A4" w:rsidRDefault="00B569A4" w:rsidP="00E20359">
      <w:pPr>
        <w:spacing w:after="0" w:line="240" w:lineRule="auto"/>
      </w:pPr>
      <w:r>
        <w:separator/>
      </w:r>
    </w:p>
  </w:endnote>
  <w:endnote w:type="continuationSeparator" w:id="0">
    <w:p w:rsidR="00B569A4" w:rsidRDefault="00B569A4" w:rsidP="00E2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A4" w:rsidRDefault="00B569A4" w:rsidP="00E20359">
      <w:pPr>
        <w:spacing w:after="0" w:line="240" w:lineRule="auto"/>
      </w:pPr>
      <w:r>
        <w:separator/>
      </w:r>
    </w:p>
  </w:footnote>
  <w:footnote w:type="continuationSeparator" w:id="0">
    <w:p w:rsidR="00B569A4" w:rsidRDefault="00B569A4" w:rsidP="00E20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2C4"/>
    <w:multiLevelType w:val="hybridMultilevel"/>
    <w:tmpl w:val="6D64030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4B2A3F14"/>
    <w:multiLevelType w:val="hybridMultilevel"/>
    <w:tmpl w:val="4C5CD1A0"/>
    <w:lvl w:ilvl="0" w:tplc="040C0011">
      <w:start w:val="1"/>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AF3908"/>
    <w:multiLevelType w:val="hybridMultilevel"/>
    <w:tmpl w:val="400691F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745368F8"/>
    <w:multiLevelType w:val="hybridMultilevel"/>
    <w:tmpl w:val="2646BC4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8A"/>
    <w:rsid w:val="00031299"/>
    <w:rsid w:val="00034B79"/>
    <w:rsid w:val="000433C2"/>
    <w:rsid w:val="00052DDA"/>
    <w:rsid w:val="00067BFF"/>
    <w:rsid w:val="0013748B"/>
    <w:rsid w:val="001A1554"/>
    <w:rsid w:val="00204894"/>
    <w:rsid w:val="00214B73"/>
    <w:rsid w:val="00237E82"/>
    <w:rsid w:val="00286D8F"/>
    <w:rsid w:val="00286E7D"/>
    <w:rsid w:val="002954B7"/>
    <w:rsid w:val="003B5135"/>
    <w:rsid w:val="0040145D"/>
    <w:rsid w:val="0043325C"/>
    <w:rsid w:val="00570904"/>
    <w:rsid w:val="005A1C0B"/>
    <w:rsid w:val="005B7D8A"/>
    <w:rsid w:val="00614585"/>
    <w:rsid w:val="00660A2A"/>
    <w:rsid w:val="007819DD"/>
    <w:rsid w:val="00806CF4"/>
    <w:rsid w:val="00834AF3"/>
    <w:rsid w:val="008B710F"/>
    <w:rsid w:val="008C0A46"/>
    <w:rsid w:val="008E4171"/>
    <w:rsid w:val="00991AD5"/>
    <w:rsid w:val="009C19C8"/>
    <w:rsid w:val="00A20C6A"/>
    <w:rsid w:val="00A46A8C"/>
    <w:rsid w:val="00A80080"/>
    <w:rsid w:val="00AE46FC"/>
    <w:rsid w:val="00B4274D"/>
    <w:rsid w:val="00B569A4"/>
    <w:rsid w:val="00B83CC0"/>
    <w:rsid w:val="00B9527A"/>
    <w:rsid w:val="00BA6706"/>
    <w:rsid w:val="00D8470A"/>
    <w:rsid w:val="00DC3501"/>
    <w:rsid w:val="00E20359"/>
    <w:rsid w:val="00E464FD"/>
    <w:rsid w:val="00E948ED"/>
    <w:rsid w:val="00F84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20359"/>
    <w:pPr>
      <w:tabs>
        <w:tab w:val="center" w:pos="4536"/>
        <w:tab w:val="right" w:pos="9072"/>
      </w:tabs>
      <w:spacing w:after="0" w:line="240" w:lineRule="auto"/>
    </w:pPr>
  </w:style>
  <w:style w:type="character" w:customStyle="1" w:styleId="En-tteCar">
    <w:name w:val="En-tête Car"/>
    <w:basedOn w:val="Policepardfaut"/>
    <w:link w:val="En-tte"/>
    <w:uiPriority w:val="99"/>
    <w:rsid w:val="00E20359"/>
  </w:style>
  <w:style w:type="paragraph" w:styleId="Pieddepage">
    <w:name w:val="footer"/>
    <w:basedOn w:val="Normal"/>
    <w:link w:val="PieddepageCar"/>
    <w:uiPriority w:val="99"/>
    <w:unhideWhenUsed/>
    <w:rsid w:val="00E20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359"/>
  </w:style>
  <w:style w:type="paragraph" w:styleId="Paragraphedeliste">
    <w:name w:val="List Paragraph"/>
    <w:basedOn w:val="Normal"/>
    <w:uiPriority w:val="34"/>
    <w:qFormat/>
    <w:rsid w:val="00E20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20359"/>
    <w:pPr>
      <w:tabs>
        <w:tab w:val="center" w:pos="4536"/>
        <w:tab w:val="right" w:pos="9072"/>
      </w:tabs>
      <w:spacing w:after="0" w:line="240" w:lineRule="auto"/>
    </w:pPr>
  </w:style>
  <w:style w:type="character" w:customStyle="1" w:styleId="En-tteCar">
    <w:name w:val="En-tête Car"/>
    <w:basedOn w:val="Policepardfaut"/>
    <w:link w:val="En-tte"/>
    <w:uiPriority w:val="99"/>
    <w:rsid w:val="00E20359"/>
  </w:style>
  <w:style w:type="paragraph" w:styleId="Pieddepage">
    <w:name w:val="footer"/>
    <w:basedOn w:val="Normal"/>
    <w:link w:val="PieddepageCar"/>
    <w:uiPriority w:val="99"/>
    <w:unhideWhenUsed/>
    <w:rsid w:val="00E20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359"/>
  </w:style>
  <w:style w:type="paragraph" w:styleId="Paragraphedeliste">
    <w:name w:val="List Paragraph"/>
    <w:basedOn w:val="Normal"/>
    <w:uiPriority w:val="34"/>
    <w:qFormat/>
    <w:rsid w:val="00E2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2405</TotalTime>
  <Pages>3</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2018-10-17T14:50:00Z</dcterms:created>
  <dcterms:modified xsi:type="dcterms:W3CDTF">2018-10-19T15:32:00Z</dcterms:modified>
</cp:coreProperties>
</file>