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48" w:rsidRPr="002F1B37" w:rsidRDefault="00CA146A" w:rsidP="00CC0385">
      <w:pPr>
        <w:spacing w:before="89"/>
        <w:rPr>
          <w:b/>
          <w:sz w:val="23"/>
          <w:lang w:val="fr-FR"/>
        </w:rPr>
      </w:pPr>
      <w:r w:rsidRPr="00CA146A">
        <w:rPr>
          <w:b/>
          <w:bCs/>
          <w:sz w:val="28"/>
          <w:szCs w:val="28"/>
          <w:lang w:val="fr-FR"/>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6.75pt;height:110.9pt" adj="5665" fillcolor="black">
            <v:shadow color="#868686"/>
            <v:textpath style="font-family:&quot;Impact&quot;;v-text-kern:t" trim="t" fitpath="t" xscale="f" string="LES SOCIETES DES PERSONNES&#10;&#10;"/>
          </v:shape>
        </w:pict>
      </w:r>
      <w:r w:rsidR="00CC0385">
        <w:rPr>
          <w:b/>
          <w:bCs/>
          <w:sz w:val="28"/>
          <w:szCs w:val="28"/>
          <w:lang w:val="fr-FR"/>
        </w:rPr>
        <w:t xml:space="preserve">       </w:t>
      </w:r>
      <w:r w:rsidRPr="00CA146A">
        <w:rPr>
          <w:b/>
          <w:sz w:val="28"/>
          <w:lang w:val="fr-FR"/>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29.5pt;height:48pt" adj="7200" fillcolor="black">
            <v:shadow color="#868686"/>
            <v:textpath style="font-family:&quot;Times New Roman&quot;;v-text-kern:t" trim="t" fitpath="t" string="Société en nom collectif SNC-"/>
          </v:shape>
        </w:pict>
      </w:r>
    </w:p>
    <w:p w:rsidR="00CC0385" w:rsidRDefault="00CC0385" w:rsidP="00CC0385">
      <w:pPr>
        <w:spacing w:before="89"/>
        <w:rPr>
          <w:b/>
          <w:sz w:val="28"/>
          <w:u w:val="thick"/>
          <w:lang w:val="fr-FR"/>
        </w:rPr>
      </w:pPr>
    </w:p>
    <w:p w:rsidR="00CC0385" w:rsidRDefault="00CC0385" w:rsidP="00CC0385">
      <w:pPr>
        <w:spacing w:before="89"/>
        <w:rPr>
          <w:b/>
          <w:sz w:val="28"/>
          <w:u w:val="thick"/>
          <w:lang w:val="fr-FR"/>
        </w:rPr>
      </w:pPr>
    </w:p>
    <w:p w:rsidR="003D1748" w:rsidRPr="00A729FD" w:rsidRDefault="003D1748" w:rsidP="00CC0385">
      <w:pPr>
        <w:spacing w:before="89"/>
        <w:rPr>
          <w:rFonts w:ascii="Algerian" w:hAnsi="Algerian"/>
          <w:bCs/>
          <w:sz w:val="32"/>
          <w:szCs w:val="32"/>
          <w:lang w:val="fr-FR"/>
        </w:rPr>
      </w:pPr>
      <w:proofErr w:type="gramStart"/>
      <w:r w:rsidRPr="00A729FD">
        <w:rPr>
          <w:rFonts w:ascii="Algerian" w:hAnsi="Algerian"/>
          <w:bCs/>
          <w:sz w:val="32"/>
          <w:szCs w:val="32"/>
          <w:u w:val="thick"/>
          <w:lang w:val="fr-FR"/>
        </w:rPr>
        <w:t>a/</w:t>
      </w:r>
      <w:proofErr w:type="gramEnd"/>
      <w:r w:rsidRPr="00A729FD">
        <w:rPr>
          <w:rFonts w:ascii="Algerian" w:hAnsi="Algerian"/>
          <w:bCs/>
          <w:sz w:val="32"/>
          <w:szCs w:val="32"/>
          <w:u w:val="thick"/>
          <w:lang w:val="fr-FR"/>
        </w:rPr>
        <w:t>Les éléments de la société</w:t>
      </w:r>
    </w:p>
    <w:p w:rsidR="003D1748" w:rsidRPr="00A729FD" w:rsidRDefault="003D1748" w:rsidP="003D1748">
      <w:pPr>
        <w:pStyle w:val="Corpsdetexte"/>
        <w:spacing w:before="3"/>
        <w:rPr>
          <w:bCs/>
          <w:sz w:val="23"/>
          <w:lang w:val="fr-FR"/>
        </w:rPr>
      </w:pPr>
    </w:p>
    <w:p w:rsidR="003D1748" w:rsidRPr="00CC0385" w:rsidRDefault="003D1748" w:rsidP="00CC0385">
      <w:pPr>
        <w:pStyle w:val="Corpsdetexte"/>
        <w:numPr>
          <w:ilvl w:val="0"/>
          <w:numId w:val="1"/>
        </w:numPr>
        <w:spacing w:before="89"/>
        <w:rPr>
          <w:rFonts w:ascii="Arial" w:hAnsi="Arial" w:cs="Arial"/>
          <w:lang w:val="fr-FR"/>
        </w:rPr>
      </w:pPr>
      <w:r w:rsidRPr="00CC0385">
        <w:rPr>
          <w:rFonts w:ascii="Arial" w:hAnsi="Arial" w:cs="Arial"/>
          <w:lang w:val="fr-FR"/>
        </w:rPr>
        <w:t>C’est une société de personnes.</w:t>
      </w:r>
    </w:p>
    <w:p w:rsidR="003D1748" w:rsidRPr="00CC0385" w:rsidRDefault="003D1748" w:rsidP="003D1748">
      <w:pPr>
        <w:pStyle w:val="Corpsdetexte"/>
        <w:spacing w:before="2"/>
        <w:rPr>
          <w:rFonts w:ascii="Arial" w:hAnsi="Arial" w:cs="Arial"/>
          <w:sz w:val="31"/>
          <w:lang w:val="fr-FR"/>
        </w:rPr>
      </w:pPr>
    </w:p>
    <w:p w:rsidR="003D1748" w:rsidRPr="00CC0385" w:rsidRDefault="003D1748" w:rsidP="00CC0385">
      <w:pPr>
        <w:pStyle w:val="Paragraphedeliste"/>
        <w:numPr>
          <w:ilvl w:val="0"/>
          <w:numId w:val="1"/>
        </w:numPr>
        <w:rPr>
          <w:rFonts w:ascii="Arial" w:hAnsi="Arial" w:cs="Arial"/>
          <w:sz w:val="28"/>
          <w:lang w:val="fr-FR"/>
        </w:rPr>
      </w:pPr>
      <w:r w:rsidRPr="00CC0385">
        <w:rPr>
          <w:rFonts w:ascii="Arial" w:hAnsi="Arial" w:cs="Arial"/>
          <w:sz w:val="28"/>
          <w:lang w:val="fr-FR"/>
        </w:rPr>
        <w:t xml:space="preserve"> les associés ont tous </w:t>
      </w:r>
      <w:r w:rsidRPr="00CC0385">
        <w:rPr>
          <w:rFonts w:ascii="Arial" w:hAnsi="Arial" w:cs="Arial"/>
          <w:b/>
          <w:sz w:val="28"/>
          <w:lang w:val="fr-FR"/>
        </w:rPr>
        <w:t xml:space="preserve">la qualité de commerçant </w:t>
      </w:r>
      <w:r w:rsidRPr="00CC0385">
        <w:rPr>
          <w:rFonts w:ascii="Arial" w:hAnsi="Arial" w:cs="Arial"/>
          <w:sz w:val="28"/>
          <w:lang w:val="fr-FR"/>
        </w:rPr>
        <w:t>et répondent</w:t>
      </w:r>
    </w:p>
    <w:p w:rsidR="003D1748" w:rsidRPr="00CC0385" w:rsidRDefault="003D1748" w:rsidP="003D1748">
      <w:pPr>
        <w:pStyle w:val="Heading1"/>
        <w:spacing w:before="162"/>
        <w:rPr>
          <w:rFonts w:ascii="Arial" w:hAnsi="Arial" w:cs="Arial"/>
          <w:b w:val="0"/>
          <w:lang w:val="fr-FR"/>
        </w:rPr>
      </w:pPr>
      <w:r w:rsidRPr="00CC0385">
        <w:rPr>
          <w:rFonts w:ascii="Arial" w:hAnsi="Arial" w:cs="Arial"/>
          <w:lang w:val="fr-FR"/>
        </w:rPr>
        <w:t xml:space="preserve">indéfiniment et solidairement des dettes </w:t>
      </w:r>
      <w:proofErr w:type="gramStart"/>
      <w:r w:rsidRPr="00CC0385">
        <w:rPr>
          <w:rFonts w:ascii="Arial" w:hAnsi="Arial" w:cs="Arial"/>
          <w:lang w:val="fr-FR"/>
        </w:rPr>
        <w:t>sociales</w:t>
      </w:r>
      <w:r w:rsidR="00232335">
        <w:rPr>
          <w:rFonts w:ascii="Arial" w:hAnsi="Arial" w:cs="Arial"/>
          <w:lang w:val="fr-FR"/>
        </w:rPr>
        <w:t>(</w:t>
      </w:r>
      <w:proofErr w:type="gramEnd"/>
      <w:r w:rsidR="00232335">
        <w:rPr>
          <w:rFonts w:ascii="Arial" w:hAnsi="Arial" w:cs="Arial"/>
          <w:lang w:val="fr-FR"/>
        </w:rPr>
        <w:t xml:space="preserve"> </w:t>
      </w:r>
      <w:r w:rsidR="00232335" w:rsidRPr="00232335">
        <w:rPr>
          <w:rFonts w:ascii="Arial" w:hAnsi="Arial" w:cs="Arial"/>
          <w:b w:val="0"/>
          <w:bCs w:val="0"/>
          <w:lang w:val="fr-FR"/>
        </w:rPr>
        <w:t xml:space="preserve">art </w:t>
      </w:r>
      <w:r w:rsidR="00232335">
        <w:rPr>
          <w:rFonts w:ascii="Arial" w:hAnsi="Arial" w:cs="Arial"/>
          <w:b w:val="0"/>
          <w:lang w:val="fr-FR"/>
        </w:rPr>
        <w:t xml:space="preserve">551 du </w:t>
      </w:r>
      <w:proofErr w:type="spellStart"/>
      <w:r w:rsidR="00232335">
        <w:rPr>
          <w:rFonts w:ascii="Arial" w:hAnsi="Arial" w:cs="Arial"/>
          <w:b w:val="0"/>
          <w:lang w:val="fr-FR"/>
        </w:rPr>
        <w:t>C.Cce</w:t>
      </w:r>
      <w:proofErr w:type="spellEnd"/>
      <w:r w:rsidR="00232335">
        <w:rPr>
          <w:rFonts w:ascii="Arial" w:hAnsi="Arial" w:cs="Arial"/>
          <w:b w:val="0"/>
          <w:lang w:val="fr-FR"/>
        </w:rPr>
        <w:t>).</w:t>
      </w:r>
    </w:p>
    <w:p w:rsidR="003D1748" w:rsidRPr="00CC0385" w:rsidRDefault="003D1748" w:rsidP="003D1748">
      <w:pPr>
        <w:pStyle w:val="Corpsdetexte"/>
        <w:spacing w:before="2"/>
        <w:rPr>
          <w:rFonts w:ascii="Arial" w:hAnsi="Arial" w:cs="Arial"/>
          <w:sz w:val="31"/>
          <w:lang w:val="fr-FR"/>
        </w:rPr>
      </w:pPr>
    </w:p>
    <w:p w:rsidR="003D1748" w:rsidRPr="00CC0385" w:rsidRDefault="003D1748" w:rsidP="003D1748">
      <w:pPr>
        <w:pStyle w:val="Corpsdetexte"/>
        <w:spacing w:before="1" w:line="360" w:lineRule="auto"/>
        <w:ind w:left="135" w:right="137" w:firstLine="1132"/>
        <w:jc w:val="both"/>
        <w:rPr>
          <w:rFonts w:ascii="Arial" w:hAnsi="Arial" w:cs="Arial"/>
          <w:lang w:val="fr-FR"/>
        </w:rPr>
      </w:pPr>
      <w:r w:rsidRPr="00CC0385">
        <w:rPr>
          <w:rFonts w:ascii="Arial" w:hAnsi="Arial" w:cs="Arial"/>
          <w:lang w:val="fr-FR"/>
        </w:rPr>
        <w:t>(Les créanciers de la société peuvent poursuivre le paiement des dettes sociales contre un associé, 15 jours après une mise en demeure de la société par acte extra judiciaire (c.à.d. une notification par le biais d’un huissier de justice)).</w:t>
      </w:r>
    </w:p>
    <w:p w:rsidR="003D1748" w:rsidRPr="00CC0385" w:rsidRDefault="003D1748" w:rsidP="00CC0385">
      <w:pPr>
        <w:pStyle w:val="Corpsdetexte"/>
        <w:numPr>
          <w:ilvl w:val="0"/>
          <w:numId w:val="1"/>
        </w:numPr>
        <w:spacing w:before="204"/>
        <w:rPr>
          <w:rFonts w:ascii="Arial" w:hAnsi="Arial" w:cs="Arial"/>
          <w:b/>
          <w:bCs/>
          <w:lang w:val="fr-FR"/>
        </w:rPr>
      </w:pPr>
      <w:r w:rsidRPr="00CC0385">
        <w:rPr>
          <w:rFonts w:ascii="Arial" w:hAnsi="Arial" w:cs="Arial"/>
          <w:lang w:val="fr-FR"/>
        </w:rPr>
        <w:t xml:space="preserve">Il n’existe pas un seuil fixe pour le </w:t>
      </w:r>
      <w:r w:rsidRPr="00CC0385">
        <w:rPr>
          <w:rFonts w:ascii="Arial" w:hAnsi="Arial" w:cs="Arial"/>
          <w:b/>
          <w:bCs/>
          <w:lang w:val="fr-FR"/>
        </w:rPr>
        <w:t>capital social.</w:t>
      </w:r>
    </w:p>
    <w:p w:rsidR="003D1748" w:rsidRPr="00CC0385" w:rsidRDefault="003D1748" w:rsidP="003D1748">
      <w:pPr>
        <w:pStyle w:val="Corpsdetexte"/>
        <w:spacing w:before="7"/>
        <w:rPr>
          <w:rFonts w:ascii="Arial" w:hAnsi="Arial" w:cs="Arial"/>
          <w:sz w:val="30"/>
          <w:lang w:val="fr-FR"/>
        </w:rPr>
      </w:pPr>
    </w:p>
    <w:p w:rsidR="00DF49BB" w:rsidRPr="00DF49BB" w:rsidRDefault="003D1748" w:rsidP="00DF49BB">
      <w:pPr>
        <w:pStyle w:val="Corpsdetexte"/>
        <w:numPr>
          <w:ilvl w:val="0"/>
          <w:numId w:val="1"/>
        </w:numPr>
        <w:spacing w:before="1" w:line="360" w:lineRule="auto"/>
        <w:ind w:right="135"/>
        <w:jc w:val="both"/>
        <w:rPr>
          <w:rFonts w:ascii="Arial" w:hAnsi="Arial" w:cs="Arial"/>
          <w:lang w:val="fr-FR"/>
        </w:rPr>
      </w:pPr>
      <w:r w:rsidRPr="00CC0385">
        <w:rPr>
          <w:rFonts w:ascii="Arial" w:hAnsi="Arial" w:cs="Arial"/>
          <w:b/>
          <w:bCs/>
          <w:lang w:val="fr-FR"/>
        </w:rPr>
        <w:t>La raison sociale</w:t>
      </w:r>
      <w:r w:rsidRPr="00CC0385">
        <w:rPr>
          <w:rFonts w:ascii="Arial" w:hAnsi="Arial" w:cs="Arial"/>
          <w:lang w:val="fr-FR"/>
        </w:rPr>
        <w:t xml:space="preserve"> (le nom de la société) est composé du nom de tous les associes ou du nom de l’un ou plusieurs d’entre eux suivi des mots « et compagnie »</w:t>
      </w:r>
      <w:r w:rsidR="00232335">
        <w:rPr>
          <w:rFonts w:ascii="Arial" w:hAnsi="Arial" w:cs="Arial"/>
          <w:lang w:val="fr-FR"/>
        </w:rPr>
        <w:t xml:space="preserve"> </w:t>
      </w:r>
      <w:proofErr w:type="gramStart"/>
      <w:r w:rsidR="00232335">
        <w:rPr>
          <w:rFonts w:ascii="Arial" w:hAnsi="Arial" w:cs="Arial"/>
          <w:lang w:val="fr-FR"/>
        </w:rPr>
        <w:t>( art</w:t>
      </w:r>
      <w:proofErr w:type="gramEnd"/>
      <w:r w:rsidR="00232335">
        <w:rPr>
          <w:rFonts w:ascii="Arial" w:hAnsi="Arial" w:cs="Arial"/>
          <w:lang w:val="fr-FR"/>
        </w:rPr>
        <w:t xml:space="preserve"> 552)</w:t>
      </w:r>
    </w:p>
    <w:p w:rsidR="003D1748" w:rsidRPr="00CC0385" w:rsidRDefault="003D1748" w:rsidP="00DF49BB">
      <w:pPr>
        <w:pStyle w:val="Corpsdetexte"/>
        <w:numPr>
          <w:ilvl w:val="0"/>
          <w:numId w:val="1"/>
        </w:numPr>
        <w:spacing w:before="204" w:line="362" w:lineRule="auto"/>
        <w:ind w:right="141"/>
        <w:jc w:val="both"/>
        <w:rPr>
          <w:rFonts w:ascii="Arial" w:hAnsi="Arial" w:cs="Arial"/>
          <w:lang w:val="fr-FR"/>
        </w:rPr>
      </w:pPr>
      <w:r w:rsidRPr="00CC0385">
        <w:rPr>
          <w:rFonts w:ascii="Arial" w:hAnsi="Arial" w:cs="Arial"/>
          <w:lang w:val="fr-FR"/>
        </w:rPr>
        <w:t xml:space="preserve">Les </w:t>
      </w:r>
      <w:r w:rsidRPr="00DF49BB">
        <w:rPr>
          <w:rFonts w:ascii="Arial" w:hAnsi="Arial" w:cs="Arial"/>
          <w:b/>
          <w:bCs/>
          <w:lang w:val="fr-FR"/>
        </w:rPr>
        <w:t>apports des associés</w:t>
      </w:r>
      <w:r w:rsidRPr="00CC0385">
        <w:rPr>
          <w:rFonts w:ascii="Arial" w:hAnsi="Arial" w:cs="Arial"/>
          <w:lang w:val="fr-FR"/>
        </w:rPr>
        <w:t xml:space="preserve"> peuvent être en numéraire, en nature ou des apports en industrie.</w:t>
      </w:r>
    </w:p>
    <w:p w:rsidR="003D1748" w:rsidRPr="00CC0385" w:rsidRDefault="003D1748" w:rsidP="00232335">
      <w:pPr>
        <w:pStyle w:val="Corpsdetexte"/>
        <w:numPr>
          <w:ilvl w:val="0"/>
          <w:numId w:val="1"/>
        </w:numPr>
        <w:spacing w:before="201" w:line="360" w:lineRule="auto"/>
        <w:ind w:right="137"/>
        <w:jc w:val="both"/>
        <w:rPr>
          <w:rFonts w:ascii="Arial" w:hAnsi="Arial" w:cs="Arial"/>
          <w:lang w:val="fr-FR"/>
        </w:rPr>
      </w:pPr>
      <w:r w:rsidRPr="00232335">
        <w:rPr>
          <w:rFonts w:ascii="Arial" w:hAnsi="Arial" w:cs="Arial"/>
          <w:b/>
          <w:bCs/>
          <w:lang w:val="fr-FR"/>
        </w:rPr>
        <w:t>Les parts sociales</w:t>
      </w:r>
      <w:r w:rsidRPr="00CC0385">
        <w:rPr>
          <w:rFonts w:ascii="Arial" w:hAnsi="Arial" w:cs="Arial"/>
          <w:lang w:val="fr-FR"/>
        </w:rPr>
        <w:t xml:space="preserve"> ne peuvent être représentées par des titres </w:t>
      </w:r>
      <w:r w:rsidRPr="00CC0385">
        <w:rPr>
          <w:rFonts w:ascii="Arial" w:hAnsi="Arial" w:cs="Arial"/>
          <w:lang w:val="fr-FR"/>
        </w:rPr>
        <w:lastRenderedPageBreak/>
        <w:t>négociables. Elles ne peuvent être cédées qu’avec le consentement de tous les associés</w:t>
      </w:r>
      <w:r w:rsidR="00232335">
        <w:rPr>
          <w:rFonts w:ascii="Arial" w:hAnsi="Arial" w:cs="Arial"/>
          <w:lang w:val="fr-FR"/>
        </w:rPr>
        <w:t xml:space="preserve"> (art 560 du code de commerce).</w:t>
      </w:r>
    </w:p>
    <w:p w:rsidR="003D1748" w:rsidRPr="00A729FD" w:rsidRDefault="00A729FD" w:rsidP="009D3B25">
      <w:pPr>
        <w:pStyle w:val="Heading1"/>
        <w:spacing w:before="203"/>
        <w:ind w:left="0"/>
        <w:rPr>
          <w:rFonts w:ascii="Algerian" w:hAnsi="Algerian"/>
          <w:b w:val="0"/>
          <w:bCs w:val="0"/>
          <w:u w:val="single"/>
          <w:lang w:val="fr-FR"/>
        </w:rPr>
      </w:pPr>
      <w:r>
        <w:rPr>
          <w:rFonts w:ascii="Algerian" w:hAnsi="Algerian"/>
          <w:lang w:val="fr-FR"/>
        </w:rPr>
        <w:t xml:space="preserve">    </w:t>
      </w:r>
      <w:r w:rsidR="00DF49BB">
        <w:rPr>
          <w:rFonts w:ascii="Algerian" w:hAnsi="Algerian"/>
          <w:lang w:val="fr-FR"/>
        </w:rPr>
        <w:t xml:space="preserve"> </w:t>
      </w:r>
      <w:r>
        <w:rPr>
          <w:rFonts w:ascii="Algerian" w:hAnsi="Algerian"/>
          <w:lang w:val="fr-FR"/>
        </w:rPr>
        <w:t xml:space="preserve">  </w:t>
      </w:r>
      <w:r w:rsidR="003D1748" w:rsidRPr="00A729FD">
        <w:rPr>
          <w:rFonts w:ascii="Algerian" w:hAnsi="Algerian"/>
          <w:b w:val="0"/>
          <w:bCs w:val="0"/>
          <w:u w:val="single"/>
          <w:lang w:val="fr-FR"/>
        </w:rPr>
        <w:t xml:space="preserve">b/La gérance, </w:t>
      </w:r>
      <w:r w:rsidRPr="00A729FD">
        <w:rPr>
          <w:rFonts w:ascii="Algerian" w:hAnsi="Algerian"/>
          <w:b w:val="0"/>
          <w:bCs w:val="0"/>
          <w:u w:val="single"/>
          <w:lang w:val="fr-FR"/>
        </w:rPr>
        <w:t xml:space="preserve">CESSION DES </w:t>
      </w:r>
      <w:proofErr w:type="gramStart"/>
      <w:r w:rsidRPr="00A729FD">
        <w:rPr>
          <w:rFonts w:ascii="Algerian" w:hAnsi="Algerian"/>
          <w:b w:val="0"/>
          <w:bCs w:val="0"/>
          <w:u w:val="single"/>
          <w:lang w:val="fr-FR"/>
        </w:rPr>
        <w:t>PARTS ,révocation</w:t>
      </w:r>
      <w:proofErr w:type="gramEnd"/>
      <w:r w:rsidRPr="00A729FD">
        <w:rPr>
          <w:rFonts w:ascii="Algerian" w:hAnsi="Algerian"/>
          <w:b w:val="0"/>
          <w:bCs w:val="0"/>
          <w:u w:val="single"/>
          <w:lang w:val="fr-FR"/>
        </w:rPr>
        <w:t xml:space="preserve"> et </w:t>
      </w:r>
      <w:r w:rsidR="003D1748" w:rsidRPr="00A729FD">
        <w:rPr>
          <w:rFonts w:ascii="Algerian" w:hAnsi="Algerian"/>
          <w:b w:val="0"/>
          <w:bCs w:val="0"/>
          <w:u w:val="single"/>
          <w:lang w:val="fr-FR"/>
        </w:rPr>
        <w:t>dissolution</w:t>
      </w:r>
    </w:p>
    <w:p w:rsidR="003D1748" w:rsidRPr="00A729FD" w:rsidRDefault="003D1748" w:rsidP="003D1748">
      <w:pPr>
        <w:pStyle w:val="Corpsdetexte"/>
        <w:spacing w:before="9"/>
        <w:rPr>
          <w:rFonts w:ascii="Algerian" w:hAnsi="Algerian"/>
          <w:sz w:val="30"/>
          <w:u w:val="single"/>
          <w:lang w:val="fr-FR"/>
        </w:rPr>
      </w:pPr>
    </w:p>
    <w:p w:rsidR="00DF49BB" w:rsidRPr="00A729FD" w:rsidRDefault="00A729FD" w:rsidP="003D1748">
      <w:pPr>
        <w:pStyle w:val="Corpsdetexte"/>
        <w:spacing w:line="360" w:lineRule="auto"/>
        <w:ind w:left="135" w:right="135" w:firstLine="1132"/>
        <w:jc w:val="both"/>
        <w:rPr>
          <w:rFonts w:ascii="Algerian" w:hAnsi="Algerian"/>
          <w:u w:val="single"/>
          <w:lang w:val="fr-FR"/>
        </w:rPr>
      </w:pPr>
      <w:r w:rsidRPr="00A729FD">
        <w:rPr>
          <w:rFonts w:ascii="Algerian" w:hAnsi="Algerian"/>
          <w:lang w:val="fr-FR"/>
        </w:rPr>
        <w:t>B.1</w:t>
      </w:r>
      <w:r w:rsidR="00DF49BB" w:rsidRPr="00A729FD">
        <w:rPr>
          <w:rFonts w:ascii="Algerian" w:hAnsi="Algerian"/>
          <w:lang w:val="fr-FR"/>
        </w:rPr>
        <w:t xml:space="preserve"> /</w:t>
      </w:r>
      <w:r w:rsidR="00DF49BB" w:rsidRPr="00A729FD">
        <w:rPr>
          <w:lang w:val="fr-FR"/>
        </w:rPr>
        <w:t xml:space="preserve"> </w:t>
      </w:r>
      <w:r w:rsidR="003D1748" w:rsidRPr="00A729FD">
        <w:rPr>
          <w:rFonts w:ascii="Algerian" w:hAnsi="Algerian"/>
          <w:u w:val="single"/>
          <w:lang w:val="fr-FR"/>
        </w:rPr>
        <w:t>La gérance</w:t>
      </w:r>
    </w:p>
    <w:p w:rsidR="003D1748" w:rsidRPr="00ED6149" w:rsidRDefault="00DF49BB" w:rsidP="00DF49BB">
      <w:pPr>
        <w:pStyle w:val="Corpsdetexte"/>
        <w:spacing w:line="360" w:lineRule="auto"/>
        <w:ind w:left="135" w:right="135"/>
        <w:jc w:val="both"/>
        <w:rPr>
          <w:rFonts w:ascii="Arial" w:hAnsi="Arial" w:cs="Arial"/>
          <w:lang w:val="fr-FR"/>
        </w:rPr>
      </w:pPr>
      <w:r>
        <w:rPr>
          <w:lang w:val="fr-FR"/>
        </w:rPr>
        <w:t xml:space="preserve">     </w:t>
      </w:r>
      <w:r w:rsidRPr="00ED6149">
        <w:rPr>
          <w:rFonts w:ascii="Arial" w:hAnsi="Arial" w:cs="Arial"/>
          <w:lang w:val="fr-FR"/>
        </w:rPr>
        <w:t>Elle</w:t>
      </w:r>
      <w:r w:rsidR="003D1748" w:rsidRPr="00ED6149">
        <w:rPr>
          <w:rFonts w:ascii="Arial" w:hAnsi="Arial" w:cs="Arial"/>
          <w:lang w:val="fr-FR"/>
        </w:rPr>
        <w:t xml:space="preserve"> appartient à tous les associés sauf stipulation contraire des statuts qui peuvent désigner un ou plusieurs gérants associés.</w:t>
      </w:r>
    </w:p>
    <w:p w:rsidR="003D1748" w:rsidRPr="00ED6149" w:rsidRDefault="003D1748" w:rsidP="00ED6149">
      <w:pPr>
        <w:pStyle w:val="Corpsdetexte"/>
        <w:spacing w:before="89"/>
        <w:rPr>
          <w:rFonts w:ascii="Arial" w:hAnsi="Arial" w:cs="Arial"/>
          <w:lang w:val="fr-FR"/>
        </w:rPr>
      </w:pPr>
      <w:r w:rsidRPr="00ED6149">
        <w:rPr>
          <w:rFonts w:ascii="Arial" w:hAnsi="Arial" w:cs="Arial"/>
          <w:lang w:val="fr-FR"/>
        </w:rPr>
        <w:t>Les décisions qui excèdent le</w:t>
      </w:r>
      <w:r w:rsidR="00ED6149">
        <w:rPr>
          <w:rFonts w:ascii="Arial" w:hAnsi="Arial" w:cs="Arial"/>
          <w:lang w:val="fr-FR"/>
        </w:rPr>
        <w:t xml:space="preserve">s pouvoirs reconnus </w:t>
      </w:r>
      <w:proofErr w:type="gramStart"/>
      <w:r w:rsidR="00ED6149">
        <w:rPr>
          <w:rFonts w:ascii="Arial" w:hAnsi="Arial" w:cs="Arial"/>
          <w:lang w:val="fr-FR"/>
        </w:rPr>
        <w:t>au gérants</w:t>
      </w:r>
      <w:proofErr w:type="gramEnd"/>
      <w:r w:rsidR="00ED6149">
        <w:rPr>
          <w:rFonts w:ascii="Arial" w:hAnsi="Arial" w:cs="Arial"/>
          <w:lang w:val="fr-FR"/>
        </w:rPr>
        <w:t xml:space="preserve"> </w:t>
      </w:r>
      <w:r w:rsidRPr="00ED6149">
        <w:rPr>
          <w:rFonts w:ascii="Arial" w:hAnsi="Arial" w:cs="Arial"/>
          <w:lang w:val="fr-FR"/>
        </w:rPr>
        <w:t>sont</w:t>
      </w:r>
    </w:p>
    <w:p w:rsidR="003D1748" w:rsidRPr="00ED6149" w:rsidRDefault="003D1748" w:rsidP="003D1748">
      <w:pPr>
        <w:pStyle w:val="Corpsdetexte"/>
        <w:spacing w:before="159"/>
        <w:ind w:left="135"/>
        <w:rPr>
          <w:rFonts w:ascii="Arial" w:hAnsi="Arial" w:cs="Arial"/>
          <w:lang w:val="fr-FR"/>
        </w:rPr>
      </w:pPr>
      <w:proofErr w:type="gramStart"/>
      <w:r w:rsidRPr="00ED6149">
        <w:rPr>
          <w:rFonts w:ascii="Arial" w:hAnsi="Arial" w:cs="Arial"/>
          <w:lang w:val="fr-FR"/>
        </w:rPr>
        <w:t>prises</w:t>
      </w:r>
      <w:proofErr w:type="gramEnd"/>
      <w:r w:rsidRPr="00ED6149">
        <w:rPr>
          <w:rFonts w:ascii="Arial" w:hAnsi="Arial" w:cs="Arial"/>
          <w:lang w:val="fr-FR"/>
        </w:rPr>
        <w:t xml:space="preserve"> à l’unanimité des associés.</w:t>
      </w:r>
    </w:p>
    <w:p w:rsidR="003D1748" w:rsidRPr="00ED6149" w:rsidRDefault="003D1748" w:rsidP="003D1748">
      <w:pPr>
        <w:pStyle w:val="Corpsdetexte"/>
        <w:spacing w:before="4"/>
        <w:rPr>
          <w:rFonts w:ascii="Arial" w:hAnsi="Arial" w:cs="Arial"/>
          <w:sz w:val="31"/>
          <w:lang w:val="fr-FR"/>
        </w:rPr>
      </w:pPr>
    </w:p>
    <w:p w:rsidR="003D1748" w:rsidRPr="00ED6149" w:rsidRDefault="003D1748" w:rsidP="003D1748">
      <w:pPr>
        <w:pStyle w:val="Corpsdetexte"/>
        <w:spacing w:before="1" w:line="360" w:lineRule="auto"/>
        <w:ind w:left="135" w:right="136" w:firstLine="1132"/>
        <w:jc w:val="both"/>
        <w:rPr>
          <w:rFonts w:ascii="Arial" w:hAnsi="Arial" w:cs="Arial"/>
          <w:lang w:val="fr-FR"/>
        </w:rPr>
      </w:pPr>
      <w:r w:rsidRPr="00ED6149">
        <w:rPr>
          <w:rFonts w:ascii="Arial" w:hAnsi="Arial" w:cs="Arial"/>
          <w:lang w:val="fr-FR"/>
        </w:rPr>
        <w:t>Le rapport sur les opérations de l’exercice, l’inventaire, le compte d’exploitation générale, le compte des résultats et le bilan établis par les gérants sont soumis à l’approbation des associés dans un délai de 6 mois à compter de la clôture dudit exercice.</w:t>
      </w:r>
    </w:p>
    <w:p w:rsidR="003D1748" w:rsidRPr="00ED6149" w:rsidRDefault="003D1748" w:rsidP="003D1748">
      <w:pPr>
        <w:pStyle w:val="Corpsdetexte"/>
        <w:spacing w:before="5" w:line="360" w:lineRule="auto"/>
        <w:ind w:left="135" w:right="136" w:firstLine="1132"/>
        <w:jc w:val="both"/>
        <w:rPr>
          <w:rFonts w:ascii="Arial" w:hAnsi="Arial" w:cs="Arial"/>
          <w:lang w:val="fr-FR"/>
        </w:rPr>
      </w:pPr>
      <w:r w:rsidRPr="00ED6149">
        <w:rPr>
          <w:rFonts w:ascii="Arial" w:hAnsi="Arial" w:cs="Arial"/>
          <w:lang w:val="fr-FR"/>
        </w:rPr>
        <w:t>Les associés non gérants ont le droit 2 fois par an, de prendre par eux même au siège social, connaissance des livres de commerces et de comptabilité, des contrats, factures, correspondances, procès verbaux et tous documents établis par la société ou reçus par</w:t>
      </w:r>
      <w:r w:rsidRPr="00ED6149">
        <w:rPr>
          <w:rFonts w:ascii="Arial" w:hAnsi="Arial" w:cs="Arial"/>
          <w:spacing w:val="-11"/>
          <w:lang w:val="fr-FR"/>
        </w:rPr>
        <w:t xml:space="preserve"> </w:t>
      </w:r>
      <w:r w:rsidR="00232335" w:rsidRPr="00ED6149">
        <w:rPr>
          <w:rFonts w:ascii="Arial" w:hAnsi="Arial" w:cs="Arial"/>
          <w:lang w:val="fr-FR"/>
        </w:rPr>
        <w:t>elle ( art 553 à 559 du code de commerce)</w:t>
      </w:r>
    </w:p>
    <w:p w:rsidR="00ED6149" w:rsidRDefault="00ED6149" w:rsidP="00ED6149">
      <w:pPr>
        <w:pStyle w:val="Corpsdetexte"/>
        <w:spacing w:before="5" w:line="360" w:lineRule="auto"/>
        <w:ind w:right="137"/>
        <w:jc w:val="both"/>
        <w:rPr>
          <w:rFonts w:ascii="Algerian" w:hAnsi="Algerian"/>
          <w:lang w:val="fr-FR"/>
        </w:rPr>
      </w:pPr>
    </w:p>
    <w:p w:rsidR="00A729FD" w:rsidRPr="00A729FD" w:rsidRDefault="00ED6149" w:rsidP="00ED6149">
      <w:pPr>
        <w:pStyle w:val="Corpsdetexte"/>
        <w:spacing w:before="5" w:line="360" w:lineRule="auto"/>
        <w:ind w:right="137"/>
        <w:jc w:val="both"/>
        <w:rPr>
          <w:rFonts w:ascii="Algerian" w:hAnsi="Algerian"/>
          <w:u w:val="single"/>
          <w:lang w:val="fr-FR"/>
        </w:rPr>
      </w:pPr>
      <w:r>
        <w:rPr>
          <w:rFonts w:ascii="Algerian" w:hAnsi="Algerian"/>
          <w:lang w:val="fr-FR"/>
        </w:rPr>
        <w:t xml:space="preserve">                </w:t>
      </w:r>
      <w:r w:rsidR="00A729FD">
        <w:rPr>
          <w:rFonts w:ascii="Algerian" w:hAnsi="Algerian"/>
          <w:lang w:val="fr-FR"/>
        </w:rPr>
        <w:t>B.2</w:t>
      </w:r>
      <w:r w:rsidR="00A729FD" w:rsidRPr="00A729FD">
        <w:rPr>
          <w:rFonts w:ascii="Algerian" w:hAnsi="Algerian"/>
          <w:lang w:val="fr-FR"/>
        </w:rPr>
        <w:t xml:space="preserve">/ </w:t>
      </w:r>
      <w:r w:rsidR="00831E6E">
        <w:rPr>
          <w:rFonts w:ascii="Algerian" w:hAnsi="Algerian"/>
          <w:u w:val="single"/>
          <w:lang w:val="fr-FR"/>
        </w:rPr>
        <w:t>la</w:t>
      </w:r>
      <w:r w:rsidR="00831E6E" w:rsidRPr="00831E6E">
        <w:rPr>
          <w:rFonts w:ascii="Algerian" w:hAnsi="Algerian"/>
          <w:u w:val="single"/>
          <w:lang w:val="fr-FR"/>
        </w:rPr>
        <w:t xml:space="preserve"> </w:t>
      </w:r>
      <w:r w:rsidR="00A729FD" w:rsidRPr="00A729FD">
        <w:rPr>
          <w:rFonts w:ascii="Algerian" w:hAnsi="Algerian"/>
          <w:u w:val="single"/>
          <w:lang w:val="fr-FR"/>
        </w:rPr>
        <w:t xml:space="preserve">CESSION DES PARTS </w:t>
      </w:r>
    </w:p>
    <w:p w:rsidR="00A729FD" w:rsidRPr="00ED6149" w:rsidRDefault="00A729FD" w:rsidP="00A729FD">
      <w:pPr>
        <w:pStyle w:val="Corpsdetexte"/>
        <w:spacing w:before="89" w:line="360" w:lineRule="auto"/>
        <w:ind w:right="136"/>
        <w:jc w:val="both"/>
        <w:rPr>
          <w:rFonts w:ascii="Arial" w:hAnsi="Arial" w:cs="Arial"/>
          <w:lang w:val="fr-FR"/>
        </w:rPr>
      </w:pPr>
      <w:r w:rsidRPr="00ED6149">
        <w:rPr>
          <w:rFonts w:ascii="Arial" w:hAnsi="Arial" w:cs="Arial"/>
          <w:lang w:val="fr-FR"/>
        </w:rPr>
        <w:t>La cession des parts sociales doit être constatée par acte authentique, elle est opposable à la société par la notification ou l’acceptation par elle dans un acte authentique mais elle n’est opposable aux tiers qu’après accomplissement des formalités de publicité au registre de commerce.</w:t>
      </w:r>
    </w:p>
    <w:p w:rsidR="00A729FD" w:rsidRDefault="00A729FD" w:rsidP="00A729FD">
      <w:pPr>
        <w:pStyle w:val="Corpsdetexte"/>
        <w:spacing w:before="5" w:line="360" w:lineRule="auto"/>
        <w:ind w:right="137"/>
        <w:jc w:val="both"/>
        <w:rPr>
          <w:rFonts w:ascii="Algerian" w:hAnsi="Algerian"/>
          <w:b/>
          <w:bCs/>
          <w:lang w:val="fr-FR"/>
        </w:rPr>
      </w:pPr>
      <w:r>
        <w:rPr>
          <w:rFonts w:ascii="Algerian" w:hAnsi="Algerian"/>
          <w:b/>
          <w:bCs/>
          <w:lang w:val="fr-FR"/>
        </w:rPr>
        <w:t xml:space="preserve">                </w:t>
      </w:r>
    </w:p>
    <w:p w:rsidR="00DF49BB" w:rsidRPr="00A729FD" w:rsidRDefault="00A729FD" w:rsidP="00A729FD">
      <w:pPr>
        <w:pStyle w:val="Corpsdetexte"/>
        <w:spacing w:before="5" w:line="360" w:lineRule="auto"/>
        <w:ind w:right="137"/>
        <w:jc w:val="both"/>
        <w:rPr>
          <w:lang w:val="fr-FR"/>
        </w:rPr>
      </w:pPr>
      <w:r>
        <w:rPr>
          <w:rFonts w:ascii="Algerian" w:hAnsi="Algerian"/>
          <w:b/>
          <w:bCs/>
          <w:lang w:val="fr-FR"/>
        </w:rPr>
        <w:lastRenderedPageBreak/>
        <w:t xml:space="preserve">                </w:t>
      </w:r>
      <w:r w:rsidRPr="00A729FD">
        <w:rPr>
          <w:rFonts w:ascii="Algerian" w:hAnsi="Algerian"/>
          <w:lang w:val="fr-FR"/>
        </w:rPr>
        <w:t xml:space="preserve"> </w:t>
      </w:r>
      <w:r>
        <w:rPr>
          <w:rFonts w:ascii="Algerian" w:hAnsi="Algerian"/>
          <w:lang w:val="fr-FR"/>
        </w:rPr>
        <w:t>B.3</w:t>
      </w:r>
      <w:r w:rsidR="00DF49BB" w:rsidRPr="00A729FD">
        <w:rPr>
          <w:rFonts w:ascii="Algerian" w:hAnsi="Algerian"/>
          <w:lang w:val="fr-FR"/>
        </w:rPr>
        <w:t xml:space="preserve">/ </w:t>
      </w:r>
      <w:r w:rsidR="00DF49BB" w:rsidRPr="00A729FD">
        <w:rPr>
          <w:rFonts w:ascii="Algerian" w:hAnsi="Algerian"/>
          <w:u w:val="single"/>
          <w:lang w:val="fr-FR"/>
        </w:rPr>
        <w:t>La révocation</w:t>
      </w:r>
      <w:r w:rsidR="00DF49BB" w:rsidRPr="00A729FD">
        <w:rPr>
          <w:lang w:val="fr-FR"/>
        </w:rPr>
        <w:t xml:space="preserve"> </w:t>
      </w:r>
    </w:p>
    <w:p w:rsidR="003D1748" w:rsidRPr="00ED6149" w:rsidRDefault="003D1748" w:rsidP="003D1748">
      <w:pPr>
        <w:pStyle w:val="Corpsdetexte"/>
        <w:spacing w:before="7" w:line="360" w:lineRule="auto"/>
        <w:ind w:left="135" w:right="135" w:firstLine="1132"/>
        <w:jc w:val="both"/>
        <w:rPr>
          <w:rFonts w:ascii="Arial" w:hAnsi="Arial" w:cs="Arial"/>
          <w:lang w:val="fr-FR"/>
        </w:rPr>
      </w:pPr>
      <w:r w:rsidRPr="00ED6149">
        <w:rPr>
          <w:rFonts w:ascii="Arial" w:hAnsi="Arial" w:cs="Arial"/>
          <w:lang w:val="fr-FR"/>
        </w:rPr>
        <w:t>Si tous les associés sont gérants ou si un ou plusieurs gérants choisis parmi les associés</w:t>
      </w:r>
      <w:r w:rsidR="00DF49BB" w:rsidRPr="00ED6149">
        <w:rPr>
          <w:rFonts w:ascii="Arial" w:hAnsi="Arial" w:cs="Arial"/>
          <w:lang w:val="fr-FR"/>
        </w:rPr>
        <w:t xml:space="preserve"> sont désignés dans les statuts, l</w:t>
      </w:r>
      <w:r w:rsidRPr="00ED6149">
        <w:rPr>
          <w:rFonts w:ascii="Arial" w:hAnsi="Arial" w:cs="Arial"/>
          <w:lang w:val="fr-FR"/>
        </w:rPr>
        <w:t>a révocation de l’un d’eux de ses fonctions ne peut être décidée qu’a l’unanimité des autres associés. (L’unanimité veut dire que tous les membres sont d’accord pour la même décision).</w:t>
      </w:r>
    </w:p>
    <w:p w:rsidR="003D1748" w:rsidRPr="00ED6149" w:rsidRDefault="00DF49BB" w:rsidP="003D1748">
      <w:pPr>
        <w:pStyle w:val="Corpsdetexte"/>
        <w:spacing w:before="5" w:line="360" w:lineRule="auto"/>
        <w:ind w:left="135" w:right="137" w:firstLine="1132"/>
        <w:jc w:val="both"/>
        <w:rPr>
          <w:rFonts w:ascii="Arial" w:hAnsi="Arial" w:cs="Arial"/>
          <w:lang w:val="fr-FR"/>
        </w:rPr>
      </w:pPr>
      <w:r w:rsidRPr="00ED6149">
        <w:rPr>
          <w:rFonts w:ascii="Arial" w:hAnsi="Arial" w:cs="Arial"/>
          <w:lang w:val="fr-FR"/>
        </w:rPr>
        <w:t xml:space="preserve">La révocation </w:t>
      </w:r>
      <w:r w:rsidR="003D1748" w:rsidRPr="00ED6149">
        <w:rPr>
          <w:rFonts w:ascii="Arial" w:hAnsi="Arial" w:cs="Arial"/>
          <w:lang w:val="fr-FR"/>
        </w:rPr>
        <w:t>entraine la dissolution de la société à moins que sa continuation ne soit prévue par les statuts ou que les autres associés ne le décident à l’unanimité.</w:t>
      </w:r>
    </w:p>
    <w:p w:rsidR="003D1748" w:rsidRPr="00ED6149" w:rsidRDefault="003D1748" w:rsidP="003D1748">
      <w:pPr>
        <w:pStyle w:val="Corpsdetexte"/>
        <w:spacing w:before="7" w:line="360" w:lineRule="auto"/>
        <w:ind w:left="135" w:right="137" w:firstLine="1132"/>
        <w:jc w:val="both"/>
        <w:rPr>
          <w:rFonts w:ascii="Arial" w:hAnsi="Arial" w:cs="Arial"/>
          <w:lang w:val="fr-FR"/>
        </w:rPr>
      </w:pPr>
      <w:r w:rsidRPr="00ED6149">
        <w:rPr>
          <w:rFonts w:ascii="Arial" w:hAnsi="Arial" w:cs="Arial"/>
          <w:lang w:val="fr-FR"/>
        </w:rPr>
        <w:t>Le gérant révoqué peut décider de se retirer de la société en demandant le remboursement de ses droits sociaux, dont la valeur est déterminée au jour de la décision de révocation par un expert agréé désigné par les parties ou par ordonnance du tribunal statuant en la forme du</w:t>
      </w:r>
      <w:r w:rsidRPr="00ED6149">
        <w:rPr>
          <w:rFonts w:ascii="Arial" w:hAnsi="Arial" w:cs="Arial"/>
          <w:spacing w:val="-13"/>
          <w:lang w:val="fr-FR"/>
        </w:rPr>
        <w:t xml:space="preserve"> </w:t>
      </w:r>
      <w:r w:rsidRPr="00ED6149">
        <w:rPr>
          <w:rFonts w:ascii="Arial" w:hAnsi="Arial" w:cs="Arial"/>
          <w:lang w:val="fr-FR"/>
        </w:rPr>
        <w:t>référé.</w:t>
      </w:r>
    </w:p>
    <w:p w:rsidR="003D1748" w:rsidRPr="00ED6149" w:rsidRDefault="003D1748" w:rsidP="003D1748">
      <w:pPr>
        <w:pStyle w:val="Corpsdetexte"/>
        <w:spacing w:before="4" w:line="362" w:lineRule="auto"/>
        <w:ind w:left="135" w:right="135" w:firstLine="1132"/>
        <w:jc w:val="both"/>
        <w:rPr>
          <w:rFonts w:ascii="Arial" w:hAnsi="Arial" w:cs="Arial"/>
          <w:lang w:val="fr-FR"/>
        </w:rPr>
      </w:pPr>
      <w:r w:rsidRPr="00ED6149">
        <w:rPr>
          <w:rFonts w:ascii="Arial" w:hAnsi="Arial" w:cs="Arial"/>
          <w:lang w:val="fr-FR"/>
        </w:rPr>
        <w:t>Le gérant non associé peut être révoqué dans les conditions prévues par les statuts ou par une décision prise par les associés à la</w:t>
      </w:r>
      <w:r w:rsidRPr="00ED6149">
        <w:rPr>
          <w:rFonts w:ascii="Arial" w:hAnsi="Arial" w:cs="Arial"/>
          <w:spacing w:val="-18"/>
          <w:lang w:val="fr-FR"/>
        </w:rPr>
        <w:t xml:space="preserve"> </w:t>
      </w:r>
      <w:r w:rsidRPr="00ED6149">
        <w:rPr>
          <w:rFonts w:ascii="Arial" w:hAnsi="Arial" w:cs="Arial"/>
          <w:lang w:val="fr-FR"/>
        </w:rPr>
        <w:t>majorité.</w:t>
      </w:r>
    </w:p>
    <w:p w:rsidR="003D1748" w:rsidRPr="00ED6149" w:rsidRDefault="00ED6149" w:rsidP="00ED6149">
      <w:pPr>
        <w:pStyle w:val="Corpsdetexte"/>
        <w:spacing w:before="1"/>
        <w:rPr>
          <w:rFonts w:ascii="Arial" w:hAnsi="Arial" w:cs="Arial"/>
          <w:lang w:val="fr-FR"/>
        </w:rPr>
      </w:pPr>
      <w:r>
        <w:rPr>
          <w:rFonts w:ascii="Arial" w:hAnsi="Arial" w:cs="Arial"/>
          <w:lang w:val="fr-FR"/>
        </w:rPr>
        <w:t xml:space="preserve">            </w:t>
      </w:r>
      <w:r w:rsidR="003D1748" w:rsidRPr="00ED6149">
        <w:rPr>
          <w:rFonts w:ascii="Arial" w:hAnsi="Arial" w:cs="Arial"/>
          <w:lang w:val="fr-FR"/>
        </w:rPr>
        <w:t>Chaque associé conserve le droit de révocation judicaire pour motif</w:t>
      </w:r>
    </w:p>
    <w:p w:rsidR="00933F8B" w:rsidRPr="00ED6149" w:rsidRDefault="00ED6149" w:rsidP="00933F8B">
      <w:pPr>
        <w:pStyle w:val="Corpsdetexte"/>
        <w:spacing w:before="160"/>
        <w:ind w:left="135"/>
        <w:rPr>
          <w:rFonts w:ascii="Arial" w:hAnsi="Arial" w:cs="Arial"/>
          <w:lang w:val="fr-FR"/>
        </w:rPr>
      </w:pPr>
      <w:r>
        <w:rPr>
          <w:rFonts w:ascii="Arial" w:hAnsi="Arial" w:cs="Arial"/>
          <w:lang w:val="fr-FR"/>
        </w:rPr>
        <w:t>l</w:t>
      </w:r>
      <w:r w:rsidR="00933F8B" w:rsidRPr="00ED6149">
        <w:rPr>
          <w:rFonts w:ascii="Arial" w:hAnsi="Arial" w:cs="Arial"/>
          <w:lang w:val="fr-FR"/>
        </w:rPr>
        <w:t>égitime</w:t>
      </w:r>
      <w:r w:rsidR="00A729FD" w:rsidRPr="00ED6149">
        <w:rPr>
          <w:rFonts w:ascii="Arial" w:hAnsi="Arial" w:cs="Arial"/>
          <w:lang w:val="fr-FR"/>
        </w:rPr>
        <w:t xml:space="preserve"> </w:t>
      </w:r>
      <w:proofErr w:type="gramStart"/>
      <w:r w:rsidR="00A729FD" w:rsidRPr="00ED6149">
        <w:rPr>
          <w:rFonts w:ascii="Arial" w:hAnsi="Arial" w:cs="Arial"/>
          <w:lang w:val="fr-FR"/>
        </w:rPr>
        <w:t>( art</w:t>
      </w:r>
      <w:proofErr w:type="gramEnd"/>
      <w:r w:rsidR="00A729FD" w:rsidRPr="00ED6149">
        <w:rPr>
          <w:rFonts w:ascii="Arial" w:hAnsi="Arial" w:cs="Arial"/>
          <w:lang w:val="fr-FR"/>
        </w:rPr>
        <w:t xml:space="preserve"> 559 du code de commerce).</w:t>
      </w:r>
    </w:p>
    <w:p w:rsidR="00933F8B" w:rsidRDefault="00933F8B" w:rsidP="00933F8B">
      <w:pPr>
        <w:pStyle w:val="Corpsdetexte"/>
        <w:spacing w:before="160"/>
        <w:ind w:left="135"/>
        <w:rPr>
          <w:lang w:val="fr-FR"/>
        </w:rPr>
      </w:pPr>
    </w:p>
    <w:p w:rsidR="00933F8B" w:rsidRPr="00A729FD" w:rsidRDefault="00933F8B" w:rsidP="00A729FD">
      <w:pPr>
        <w:pStyle w:val="Corpsdetexte"/>
        <w:spacing w:before="204" w:line="360" w:lineRule="auto"/>
        <w:ind w:right="136"/>
        <w:jc w:val="both"/>
        <w:rPr>
          <w:rFonts w:ascii="Algerian" w:hAnsi="Algerian"/>
          <w:u w:val="single"/>
          <w:lang w:val="fr-FR"/>
        </w:rPr>
      </w:pPr>
      <w:r>
        <w:rPr>
          <w:lang w:val="fr-FR"/>
        </w:rPr>
        <w:t xml:space="preserve">                </w:t>
      </w:r>
      <w:r w:rsidR="00A729FD" w:rsidRPr="00A729FD">
        <w:rPr>
          <w:rFonts w:ascii="Algerian" w:hAnsi="Algerian"/>
          <w:lang w:val="fr-FR"/>
        </w:rPr>
        <w:t>B.4</w:t>
      </w:r>
      <w:r w:rsidRPr="00A729FD">
        <w:rPr>
          <w:rFonts w:ascii="Algerian" w:hAnsi="Algerian"/>
          <w:u w:val="single"/>
          <w:lang w:val="fr-FR"/>
        </w:rPr>
        <w:t>/</w:t>
      </w:r>
      <w:r w:rsidR="00D910C2" w:rsidRPr="00A729FD">
        <w:rPr>
          <w:rFonts w:ascii="Algerian" w:hAnsi="Algerian"/>
          <w:u w:val="single"/>
          <w:lang w:val="fr-FR"/>
        </w:rPr>
        <w:t xml:space="preserve"> la</w:t>
      </w:r>
      <w:r w:rsidRPr="00A729FD">
        <w:rPr>
          <w:rFonts w:ascii="Algerian" w:hAnsi="Algerian"/>
          <w:u w:val="single"/>
          <w:lang w:val="fr-FR"/>
        </w:rPr>
        <w:t xml:space="preserve"> Dissolution </w:t>
      </w:r>
    </w:p>
    <w:p w:rsidR="00933F8B" w:rsidRPr="00ED6149" w:rsidRDefault="00933F8B" w:rsidP="00933F8B">
      <w:pPr>
        <w:pStyle w:val="Corpsdetexte"/>
        <w:spacing w:before="204" w:line="360" w:lineRule="auto"/>
        <w:ind w:left="135" w:right="136" w:firstLine="1132"/>
        <w:jc w:val="both"/>
        <w:rPr>
          <w:rFonts w:ascii="Arial" w:hAnsi="Arial" w:cs="Arial"/>
          <w:lang w:val="fr-FR"/>
        </w:rPr>
      </w:pPr>
      <w:r w:rsidRPr="00ED6149">
        <w:rPr>
          <w:rFonts w:ascii="Arial" w:hAnsi="Arial" w:cs="Arial"/>
          <w:lang w:val="fr-FR"/>
        </w:rPr>
        <w:t>La société prend fin par le décès de l’un des associés sauf stipulation contraire des statuts. En cas de continuation et si l’un des héritiers de l’associé sont mineurs ceux-ci ne répondent des dettes sociales pendant leur incapacité qu’à concurrence des forces de la succession de leur auteur (c.à.d. leur responsabilités sont limitées au montants des parts</w:t>
      </w:r>
      <w:r w:rsidR="00A729FD" w:rsidRPr="00ED6149">
        <w:rPr>
          <w:rFonts w:ascii="Arial" w:hAnsi="Arial" w:cs="Arial"/>
          <w:lang w:val="fr-FR"/>
        </w:rPr>
        <w:t xml:space="preserve"> dans la société de leur défunt (art 562)</w:t>
      </w:r>
      <w:r w:rsidRPr="00ED6149">
        <w:rPr>
          <w:rFonts w:ascii="Arial" w:hAnsi="Arial" w:cs="Arial"/>
          <w:lang w:val="fr-FR"/>
        </w:rPr>
        <w:t>.</w:t>
      </w:r>
    </w:p>
    <w:p w:rsidR="00EB5074" w:rsidRPr="003D1748" w:rsidRDefault="00933F8B" w:rsidP="009D3B25">
      <w:pPr>
        <w:pStyle w:val="Corpsdetexte"/>
        <w:spacing w:before="8" w:line="360" w:lineRule="auto"/>
        <w:ind w:left="135" w:right="137" w:firstLine="1132"/>
        <w:jc w:val="both"/>
        <w:rPr>
          <w:lang w:val="fr-FR"/>
        </w:rPr>
      </w:pPr>
      <w:r w:rsidRPr="00ED6149">
        <w:rPr>
          <w:rFonts w:ascii="Arial" w:hAnsi="Arial" w:cs="Arial"/>
          <w:lang w:val="fr-FR"/>
        </w:rPr>
        <w:lastRenderedPageBreak/>
        <w:t>En cas de faillite, d’interdiction d’exercer une profession commerciale ou d’incapacité frappant l’un des associés</w:t>
      </w:r>
      <w:r w:rsidR="00A729FD" w:rsidRPr="00ED6149">
        <w:rPr>
          <w:rFonts w:ascii="Arial" w:hAnsi="Arial" w:cs="Arial"/>
          <w:lang w:val="fr-FR"/>
        </w:rPr>
        <w:t xml:space="preserve"> et selon l’article 563 du code de commerce</w:t>
      </w:r>
      <w:r w:rsidRPr="00ED6149">
        <w:rPr>
          <w:rFonts w:ascii="Arial" w:hAnsi="Arial" w:cs="Arial"/>
          <w:lang w:val="fr-FR"/>
        </w:rPr>
        <w:t>, la société est dissoute, à moins que les statuts autorisent sa continuation ou que les associ</w:t>
      </w:r>
      <w:r w:rsidR="00F55EB9" w:rsidRPr="00ED6149">
        <w:rPr>
          <w:rFonts w:ascii="Arial" w:hAnsi="Arial" w:cs="Arial"/>
          <w:lang w:val="fr-FR"/>
        </w:rPr>
        <w:t>és ne le décident à l’unanimit</w:t>
      </w:r>
      <w:r w:rsidR="00A94BE1">
        <w:rPr>
          <w:rFonts w:ascii="Arial" w:hAnsi="Arial" w:cs="Arial"/>
          <w:lang w:val="fr-FR"/>
        </w:rPr>
        <w:t>é.</w:t>
      </w:r>
    </w:p>
    <w:sectPr w:rsidR="00EB5074" w:rsidRPr="003D1748" w:rsidSect="00EB50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104E5"/>
    <w:multiLevelType w:val="hybridMultilevel"/>
    <w:tmpl w:val="CACA4B14"/>
    <w:lvl w:ilvl="0" w:tplc="2210003E">
      <w:numFmt w:val="bullet"/>
      <w:lvlText w:val=""/>
      <w:lvlJc w:val="left"/>
      <w:pPr>
        <w:ind w:left="585" w:hanging="360"/>
      </w:pPr>
      <w:rPr>
        <w:rFonts w:ascii="Symbol" w:eastAsia="Times New Roman" w:hAnsi="Symbol" w:cs="Arial"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D1748"/>
    <w:rsid w:val="001C2454"/>
    <w:rsid w:val="00232335"/>
    <w:rsid w:val="003D1748"/>
    <w:rsid w:val="004F3BFC"/>
    <w:rsid w:val="00831E6E"/>
    <w:rsid w:val="00834337"/>
    <w:rsid w:val="00933F8B"/>
    <w:rsid w:val="009D3B25"/>
    <w:rsid w:val="00A729FD"/>
    <w:rsid w:val="00A94BE1"/>
    <w:rsid w:val="00CA146A"/>
    <w:rsid w:val="00CC0385"/>
    <w:rsid w:val="00D910C2"/>
    <w:rsid w:val="00DF49BB"/>
    <w:rsid w:val="00EB5074"/>
    <w:rsid w:val="00ED6149"/>
    <w:rsid w:val="00F55E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1748"/>
    <w:pPr>
      <w:widowControl w:val="0"/>
      <w:autoSpaceDE w:val="0"/>
      <w:autoSpaceDN w:val="0"/>
      <w:spacing w:after="0" w:line="240" w:lineRule="auto"/>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D1748"/>
    <w:rPr>
      <w:sz w:val="28"/>
      <w:szCs w:val="28"/>
    </w:rPr>
  </w:style>
  <w:style w:type="character" w:customStyle="1" w:styleId="CorpsdetexteCar">
    <w:name w:val="Corps de texte Car"/>
    <w:basedOn w:val="Policepardfaut"/>
    <w:link w:val="Corpsdetexte"/>
    <w:uiPriority w:val="1"/>
    <w:rsid w:val="003D1748"/>
    <w:rPr>
      <w:rFonts w:ascii="Times New Roman" w:eastAsia="Times New Roman" w:hAnsi="Times New Roman" w:cs="Times New Roman"/>
      <w:sz w:val="28"/>
      <w:szCs w:val="28"/>
      <w:lang w:val="en-US"/>
    </w:rPr>
  </w:style>
  <w:style w:type="paragraph" w:customStyle="1" w:styleId="Heading1">
    <w:name w:val="Heading 1"/>
    <w:basedOn w:val="Normal"/>
    <w:uiPriority w:val="1"/>
    <w:qFormat/>
    <w:rsid w:val="003D1748"/>
    <w:pPr>
      <w:spacing w:before="89"/>
      <w:ind w:left="135"/>
      <w:outlineLvl w:val="1"/>
    </w:pPr>
    <w:rPr>
      <w:b/>
      <w:bCs/>
      <w:sz w:val="28"/>
      <w:szCs w:val="28"/>
    </w:rPr>
  </w:style>
  <w:style w:type="paragraph" w:styleId="Paragraphedeliste">
    <w:name w:val="List Paragraph"/>
    <w:basedOn w:val="Normal"/>
    <w:uiPriority w:val="34"/>
    <w:qFormat/>
    <w:rsid w:val="00CC03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2017-12-22T08:45:00Z</dcterms:created>
  <dcterms:modified xsi:type="dcterms:W3CDTF">2017-12-22T20:17:00Z</dcterms:modified>
</cp:coreProperties>
</file>