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E" w:rsidRPr="001845BF" w:rsidRDefault="009254AE" w:rsidP="009254AE">
      <w:pPr>
        <w:pBdr>
          <w:bottom w:val="single" w:sz="4" w:space="1" w:color="auto"/>
        </w:pBdr>
        <w:jc w:val="center"/>
        <w:rPr>
          <w:b/>
          <w:smallCaps/>
          <w:color w:val="17365D" w:themeColor="text2" w:themeShade="BF"/>
          <w:sz w:val="28"/>
        </w:rPr>
      </w:pPr>
      <w:r w:rsidRPr="001845BF">
        <w:rPr>
          <w:b/>
          <w:smallCaps/>
          <w:color w:val="17365D" w:themeColor="text2" w:themeShade="BF"/>
          <w:sz w:val="28"/>
        </w:rPr>
        <w:t>Étude thématique</w:t>
      </w:r>
    </w:p>
    <w:p w:rsidR="009254AE" w:rsidRPr="009254AE" w:rsidRDefault="009254AE" w:rsidP="009254AE">
      <w:pPr>
        <w:rPr>
          <w:sz w:val="24"/>
        </w:rPr>
      </w:pPr>
    </w:p>
    <w:p w:rsidR="009254AE" w:rsidRDefault="009254AE" w:rsidP="009254AE">
      <w:pPr>
        <w:rPr>
          <w:sz w:val="24"/>
        </w:rPr>
      </w:pPr>
    </w:p>
    <w:p w:rsidR="008435B3" w:rsidRDefault="008435B3" w:rsidP="009254AE">
      <w:pPr>
        <w:rPr>
          <w:sz w:val="24"/>
        </w:rPr>
      </w:pPr>
    </w:p>
    <w:p w:rsidR="008435B3" w:rsidRPr="008435B3" w:rsidRDefault="008435B3" w:rsidP="009254AE">
      <w:pPr>
        <w:jc w:val="center"/>
        <w:rPr>
          <w:b/>
          <w:i/>
          <w:smallCaps/>
          <w:shadow/>
          <w:sz w:val="32"/>
        </w:rPr>
      </w:pPr>
      <w:r w:rsidRPr="008435B3">
        <w:rPr>
          <w:b/>
          <w:i/>
          <w:smallCaps/>
          <w:shadow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64918</wp:posOffset>
            </wp:positionH>
            <wp:positionV relativeFrom="paragraph">
              <wp:posOffset>487976</wp:posOffset>
            </wp:positionV>
            <wp:extent cx="5754429" cy="3838353"/>
            <wp:effectExtent l="19050" t="0" r="0" b="0"/>
            <wp:wrapNone/>
            <wp:docPr id="1" name="Image 1" descr="http://savoirmaigrir.com/img/a/3391/5055/complements-alimenta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oirmaigrir.com/img/a/3391/5055/complements-alimentai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383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4AE" w:rsidRPr="008435B3">
        <w:rPr>
          <w:b/>
          <w:i/>
          <w:smallCaps/>
          <w:shadow/>
          <w:sz w:val="32"/>
        </w:rPr>
        <w:t xml:space="preserve">Les « compléments alimentaires » : </w:t>
      </w:r>
      <w:r w:rsidR="009254AE" w:rsidRPr="008435B3">
        <w:rPr>
          <w:b/>
          <w:i/>
          <w:smallCaps/>
          <w:shadow/>
          <w:sz w:val="32"/>
        </w:rPr>
        <w:br/>
        <w:t>Quels niveaux de confiance exige-t-on aujourd’hui ?</w:t>
      </w:r>
      <w:r w:rsidR="009254AE" w:rsidRPr="008435B3">
        <w:rPr>
          <w:b/>
          <w:i/>
          <w:smallCaps/>
          <w:shadow/>
          <w:sz w:val="32"/>
        </w:rPr>
        <w:br/>
        <w:t>Est-ce une bonne chose ou est-ce la fin des compléments alimentaires ?</w:t>
      </w:r>
      <w:r w:rsidR="009254AE" w:rsidRPr="008435B3">
        <w:rPr>
          <w:smallCaps/>
          <w:shadow/>
        </w:rPr>
        <w:t xml:space="preserve"> </w:t>
      </w:r>
    </w:p>
    <w:p w:rsidR="008435B3" w:rsidRPr="008435B3" w:rsidRDefault="008435B3" w:rsidP="008435B3">
      <w:pPr>
        <w:rPr>
          <w:sz w:val="32"/>
        </w:rPr>
      </w:pPr>
    </w:p>
    <w:p w:rsidR="008435B3" w:rsidRPr="008435B3" w:rsidRDefault="008435B3" w:rsidP="008435B3">
      <w:pPr>
        <w:rPr>
          <w:sz w:val="32"/>
        </w:rPr>
      </w:pPr>
    </w:p>
    <w:p w:rsidR="008435B3" w:rsidRPr="008435B3" w:rsidRDefault="008435B3" w:rsidP="008435B3">
      <w:pPr>
        <w:rPr>
          <w:sz w:val="32"/>
        </w:rPr>
      </w:pPr>
    </w:p>
    <w:p w:rsidR="008435B3" w:rsidRPr="008435B3" w:rsidRDefault="008435B3" w:rsidP="008435B3">
      <w:pPr>
        <w:rPr>
          <w:sz w:val="32"/>
        </w:rPr>
      </w:pPr>
    </w:p>
    <w:p w:rsidR="008435B3" w:rsidRPr="008435B3" w:rsidRDefault="008435B3" w:rsidP="008435B3">
      <w:pPr>
        <w:rPr>
          <w:sz w:val="32"/>
        </w:rPr>
      </w:pPr>
    </w:p>
    <w:p w:rsidR="008435B3" w:rsidRPr="008435B3" w:rsidRDefault="008435B3" w:rsidP="008435B3">
      <w:pPr>
        <w:rPr>
          <w:sz w:val="32"/>
        </w:rPr>
      </w:pPr>
    </w:p>
    <w:p w:rsidR="008435B3" w:rsidRPr="008435B3" w:rsidRDefault="008435B3" w:rsidP="008435B3">
      <w:pPr>
        <w:rPr>
          <w:sz w:val="32"/>
        </w:rPr>
      </w:pPr>
    </w:p>
    <w:p w:rsidR="008435B3" w:rsidRDefault="008435B3" w:rsidP="008435B3">
      <w:pPr>
        <w:rPr>
          <w:sz w:val="32"/>
        </w:rPr>
      </w:pPr>
    </w:p>
    <w:p w:rsidR="00B414D2" w:rsidRDefault="008435B3" w:rsidP="008435B3">
      <w:pPr>
        <w:jc w:val="center"/>
      </w:pPr>
      <w:r w:rsidRPr="008435B3">
        <w:rPr>
          <w:u w:val="single"/>
        </w:rPr>
        <w:t>Étude menée par</w:t>
      </w:r>
      <w:r>
        <w:t xml:space="preserve"> : </w:t>
      </w:r>
    </w:p>
    <w:p w:rsidR="008435B3" w:rsidRDefault="008435B3" w:rsidP="008435B3">
      <w:pPr>
        <w:jc w:val="center"/>
      </w:pPr>
      <w:r w:rsidRPr="008435B3">
        <w:rPr>
          <w:u w:val="single"/>
        </w:rPr>
        <w:t>Présentée à</w:t>
      </w:r>
      <w:r>
        <w:t xml:space="preserve"> : </w:t>
      </w:r>
    </w:p>
    <w:p w:rsidR="008435B3" w:rsidRDefault="008435B3" w:rsidP="008435B3">
      <w:pPr>
        <w:jc w:val="center"/>
      </w:pPr>
      <w:r w:rsidRPr="008435B3">
        <w:rPr>
          <w:u w:val="single"/>
        </w:rPr>
        <w:t>Rapporteur 1</w:t>
      </w:r>
      <w:r>
        <w:t xml:space="preserve"> : </w:t>
      </w:r>
    </w:p>
    <w:p w:rsidR="008435B3" w:rsidRPr="00EC02E8" w:rsidRDefault="008435B3" w:rsidP="008435B3">
      <w:pPr>
        <w:jc w:val="center"/>
        <w:rPr>
          <w:b/>
        </w:rPr>
      </w:pPr>
      <w:r w:rsidRPr="008435B3">
        <w:rPr>
          <w:u w:val="single"/>
        </w:rPr>
        <w:t>Rapporteur 2</w:t>
      </w:r>
      <w:r>
        <w:t xml:space="preserve"> : </w:t>
      </w:r>
    </w:p>
    <w:p w:rsidR="00704308" w:rsidRDefault="00704308" w:rsidP="008435B3">
      <w:pPr>
        <w:jc w:val="center"/>
        <w:rPr>
          <w:i/>
          <w:noProof/>
          <w:lang w:eastAsia="fr-FR"/>
        </w:rPr>
      </w:pPr>
    </w:p>
    <w:p w:rsidR="001845BF" w:rsidRDefault="001903A5" w:rsidP="00704308">
      <w:pPr>
        <w:pStyle w:val="Paragraphedeliste"/>
        <w:numPr>
          <w:ilvl w:val="0"/>
          <w:numId w:val="2"/>
        </w:numPr>
        <w:jc w:val="right"/>
        <w:rPr>
          <w:i/>
        </w:rPr>
        <w:sectPr w:rsidR="001845BF" w:rsidSect="00CB2D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paperSrc w:first="7" w:other="7"/>
          <w:pgNumType w:start="0"/>
          <w:cols w:space="708"/>
          <w:docGrid w:linePitch="360"/>
        </w:sectPr>
      </w:pPr>
      <w:r>
        <w:rPr>
          <w:i/>
        </w:rPr>
        <w:t>Janvier 2015</w:t>
      </w:r>
      <w:r w:rsidR="00704308">
        <w:rPr>
          <w:i/>
        </w:rPr>
        <w:t xml:space="preserve">      -</w:t>
      </w:r>
    </w:p>
    <w:p w:rsidR="008435B3" w:rsidRPr="001845BF" w:rsidRDefault="001845BF" w:rsidP="001845BF">
      <w:pPr>
        <w:pStyle w:val="Paragraphedeliste"/>
        <w:pBdr>
          <w:bottom w:val="single" w:sz="4" w:space="1" w:color="auto"/>
        </w:pBdr>
        <w:ind w:left="0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lastRenderedPageBreak/>
        <w:t>Résumé</w:t>
      </w:r>
    </w:p>
    <w:p w:rsidR="00E14580" w:rsidRDefault="00E14580" w:rsidP="00E14580">
      <w:pPr>
        <w:jc w:val="right"/>
        <w:rPr>
          <w:i/>
        </w:rPr>
      </w:pPr>
    </w:p>
    <w:p w:rsidR="000D7C16" w:rsidRDefault="000D7C16" w:rsidP="00E14580">
      <w:pPr>
        <w:rPr>
          <w:i/>
        </w:rPr>
      </w:pPr>
    </w:p>
    <w:p w:rsidR="000D7C16" w:rsidRPr="000D7C16" w:rsidRDefault="000D7C16" w:rsidP="000D7C16"/>
    <w:p w:rsidR="000D7C16" w:rsidRPr="000D7C16" w:rsidRDefault="000D7C16" w:rsidP="000D7C16"/>
    <w:p w:rsidR="000D7C16" w:rsidRPr="000D7C16" w:rsidRDefault="000D7C16" w:rsidP="000D7C16"/>
    <w:p w:rsidR="000D7C16" w:rsidRPr="000D7C16" w:rsidRDefault="000D7C16" w:rsidP="000D7C16"/>
    <w:p w:rsidR="000D7C16" w:rsidRPr="000D7C16" w:rsidRDefault="000D7C16" w:rsidP="000D7C16"/>
    <w:p w:rsidR="000D7C16" w:rsidRPr="000D7C16" w:rsidRDefault="000D7C16" w:rsidP="000D7C16"/>
    <w:p w:rsidR="000D7C16" w:rsidRPr="000D7C16" w:rsidRDefault="000D7C16" w:rsidP="000D7C16"/>
    <w:p w:rsidR="000D7C16" w:rsidRPr="000D7C16" w:rsidRDefault="000D7C16" w:rsidP="000D7C16"/>
    <w:p w:rsidR="000D7C16" w:rsidRPr="000D7C16" w:rsidRDefault="000D7C16" w:rsidP="000D7C16"/>
    <w:p w:rsidR="000D7C16" w:rsidRPr="000D7C16" w:rsidRDefault="000D7C16" w:rsidP="000D7C16"/>
    <w:p w:rsidR="000D7C16" w:rsidRPr="000D7C16" w:rsidRDefault="000D7C16" w:rsidP="000D7C16"/>
    <w:p w:rsidR="000D7C16" w:rsidRPr="000D7C16" w:rsidRDefault="000D7C16" w:rsidP="000D7C16"/>
    <w:p w:rsidR="000D7C16" w:rsidRPr="001845BF" w:rsidRDefault="000D7C16" w:rsidP="000D7C16">
      <w:pPr>
        <w:pStyle w:val="Paragraphedeliste"/>
        <w:pBdr>
          <w:bottom w:val="single" w:sz="4" w:space="1" w:color="auto"/>
        </w:pBdr>
        <w:ind w:left="0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Abstract</w:t>
      </w:r>
    </w:p>
    <w:p w:rsidR="000D7C16" w:rsidRPr="000D7C16" w:rsidRDefault="000D7C16" w:rsidP="000D7C16"/>
    <w:p w:rsidR="000D7C16" w:rsidRDefault="000D7C16" w:rsidP="000D7C16"/>
    <w:p w:rsidR="00E14580" w:rsidRPr="000D7C16" w:rsidRDefault="00E14580" w:rsidP="000D7C16">
      <w:pPr>
        <w:sectPr w:rsidR="00E14580" w:rsidRPr="000D7C16" w:rsidSect="00CB2DA1">
          <w:headerReference w:type="default" r:id="rId16"/>
          <w:footerReference w:type="default" r:id="rId17"/>
          <w:footerReference w:type="first" r:id="rId18"/>
          <w:pgSz w:w="11906" w:h="16838" w:code="9"/>
          <w:pgMar w:top="1418" w:right="1418" w:bottom="1418" w:left="1418" w:header="709" w:footer="709" w:gutter="0"/>
          <w:paperSrc w:first="7" w:other="7"/>
          <w:pgNumType w:start="1"/>
          <w:cols w:space="708"/>
          <w:docGrid w:linePitch="360"/>
        </w:sectPr>
      </w:pPr>
    </w:p>
    <w:p w:rsidR="00284F75" w:rsidRDefault="001845BF" w:rsidP="001845BF">
      <w:pPr>
        <w:pBdr>
          <w:bottom w:val="single" w:sz="4" w:space="1" w:color="auto"/>
        </w:pBdr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lastRenderedPageBreak/>
        <w:t>Abréviations et acronymes</w:t>
      </w:r>
    </w:p>
    <w:p w:rsidR="007D0541" w:rsidRPr="007D0541" w:rsidRDefault="007D0541" w:rsidP="00284F75">
      <w:pPr>
        <w:jc w:val="both"/>
      </w:pPr>
      <w:r w:rsidRPr="007D0541">
        <w:rPr>
          <w:b/>
        </w:rPr>
        <w:t xml:space="preserve">DGCCRF: </w:t>
      </w:r>
      <w:r w:rsidRPr="00785209">
        <w:rPr>
          <w:b/>
        </w:rPr>
        <w:t>D</w:t>
      </w:r>
      <w:r w:rsidRPr="007D0541">
        <w:t xml:space="preserve">irection </w:t>
      </w:r>
      <w:r w:rsidRPr="00785209">
        <w:rPr>
          <w:b/>
        </w:rPr>
        <w:t>G</w:t>
      </w:r>
      <w:r w:rsidRPr="007D0541">
        <w:t>énérale de l</w:t>
      </w:r>
      <w:r>
        <w:t xml:space="preserve">a </w:t>
      </w:r>
      <w:r w:rsidRPr="00785209">
        <w:rPr>
          <w:b/>
        </w:rPr>
        <w:t>C</w:t>
      </w:r>
      <w:r>
        <w:t xml:space="preserve">oncurrence, de la </w:t>
      </w:r>
      <w:r w:rsidRPr="00785209">
        <w:rPr>
          <w:b/>
        </w:rPr>
        <w:t>C</w:t>
      </w:r>
      <w:r>
        <w:t xml:space="preserve">onsommation et de la </w:t>
      </w:r>
      <w:r w:rsidRPr="00785209">
        <w:rPr>
          <w:b/>
        </w:rPr>
        <w:t>R</w:t>
      </w:r>
      <w:r>
        <w:t xml:space="preserve">épression des </w:t>
      </w:r>
      <w:r w:rsidRPr="00785209">
        <w:rPr>
          <w:b/>
        </w:rPr>
        <w:t>F</w:t>
      </w:r>
      <w:r>
        <w:t>raudes</w:t>
      </w:r>
    </w:p>
    <w:p w:rsidR="00284F75" w:rsidRDefault="00284F75" w:rsidP="00284F75">
      <w:pPr>
        <w:jc w:val="both"/>
        <w:rPr>
          <w:lang w:val="en-US"/>
        </w:rPr>
      </w:pPr>
      <w:r w:rsidRPr="00284F75">
        <w:rPr>
          <w:b/>
          <w:lang w:val="en-US"/>
        </w:rPr>
        <w:t>EFSA</w:t>
      </w:r>
      <w:r w:rsidRPr="007D0541">
        <w:rPr>
          <w:b/>
          <w:lang w:val="en-US"/>
        </w:rPr>
        <w:t>:</w:t>
      </w:r>
      <w:r w:rsidRPr="00284F75">
        <w:rPr>
          <w:lang w:val="en-US"/>
        </w:rPr>
        <w:t xml:space="preserve"> </w:t>
      </w:r>
      <w:r w:rsidRPr="00785209">
        <w:rPr>
          <w:b/>
          <w:lang w:val="en-US"/>
        </w:rPr>
        <w:t>E</w:t>
      </w:r>
      <w:r>
        <w:rPr>
          <w:lang w:val="en-US"/>
        </w:rPr>
        <w:t xml:space="preserve">uropean </w:t>
      </w:r>
      <w:r w:rsidRPr="00785209">
        <w:rPr>
          <w:b/>
          <w:lang w:val="en-US"/>
        </w:rPr>
        <w:t>F</w:t>
      </w:r>
      <w:r>
        <w:rPr>
          <w:lang w:val="en-US"/>
        </w:rPr>
        <w:t xml:space="preserve">ood </w:t>
      </w:r>
      <w:r w:rsidRPr="00785209">
        <w:rPr>
          <w:b/>
          <w:lang w:val="en-US"/>
        </w:rPr>
        <w:t>S</w:t>
      </w:r>
      <w:r>
        <w:rPr>
          <w:lang w:val="en-US"/>
        </w:rPr>
        <w:t xml:space="preserve">afety </w:t>
      </w:r>
      <w:r w:rsidRPr="00785209">
        <w:rPr>
          <w:b/>
          <w:lang w:val="en-US"/>
        </w:rPr>
        <w:t>A</w:t>
      </w:r>
      <w:r>
        <w:rPr>
          <w:lang w:val="en-US"/>
        </w:rPr>
        <w:t xml:space="preserve">uthority </w:t>
      </w:r>
    </w:p>
    <w:p w:rsidR="00785209" w:rsidRPr="00785209" w:rsidRDefault="00785209" w:rsidP="00284F75">
      <w:pPr>
        <w:jc w:val="both"/>
      </w:pPr>
      <w:r w:rsidRPr="00785209">
        <w:rPr>
          <w:b/>
        </w:rPr>
        <w:t xml:space="preserve">INCA: </w:t>
      </w:r>
      <w:r w:rsidRPr="00785209">
        <w:t xml:space="preserve">étude </w:t>
      </w:r>
      <w:r w:rsidRPr="00785209">
        <w:rPr>
          <w:b/>
        </w:rPr>
        <w:t>I</w:t>
      </w:r>
      <w:r w:rsidRPr="00785209">
        <w:t xml:space="preserve">ndividuelle </w:t>
      </w:r>
      <w:r w:rsidRPr="00785209">
        <w:rPr>
          <w:b/>
        </w:rPr>
        <w:t>N</w:t>
      </w:r>
      <w:r w:rsidRPr="00785209">
        <w:t>ationale d</w:t>
      </w:r>
      <w:r>
        <w:t xml:space="preserve">es </w:t>
      </w:r>
      <w:r w:rsidRPr="00785209">
        <w:rPr>
          <w:b/>
        </w:rPr>
        <w:t>C</w:t>
      </w:r>
      <w:r>
        <w:t xml:space="preserve">onsommations </w:t>
      </w:r>
      <w:r w:rsidRPr="00785209">
        <w:rPr>
          <w:b/>
        </w:rPr>
        <w:t>A</w:t>
      </w:r>
      <w:r>
        <w:t>limentaires</w:t>
      </w:r>
    </w:p>
    <w:p w:rsidR="00284F75" w:rsidRPr="00785209" w:rsidRDefault="00284F75" w:rsidP="00284F75">
      <w:pPr>
        <w:rPr>
          <w:sz w:val="28"/>
        </w:rPr>
      </w:pPr>
    </w:p>
    <w:p w:rsidR="00284F75" w:rsidRPr="00785209" w:rsidRDefault="00284F75" w:rsidP="001845BF">
      <w:pPr>
        <w:pBdr>
          <w:bottom w:val="single" w:sz="4" w:space="1" w:color="auto"/>
        </w:pBdr>
        <w:rPr>
          <w:b/>
          <w:color w:val="17365D" w:themeColor="text2" w:themeShade="BF"/>
          <w:sz w:val="28"/>
        </w:rPr>
        <w:sectPr w:rsidR="00284F75" w:rsidRPr="00785209" w:rsidSect="00841819">
          <w:footerReference w:type="first" r:id="rId19"/>
          <w:pgSz w:w="11906" w:h="16838" w:code="9"/>
          <w:pgMar w:top="1418" w:right="1418" w:bottom="1418" w:left="1418" w:header="709" w:footer="709" w:gutter="0"/>
          <w:paperSrc w:first="7" w:other="7"/>
          <w:pgNumType w:fmt="lowerRoman" w:start="1"/>
          <w:cols w:space="708"/>
          <w:titlePg/>
          <w:docGrid w:linePitch="360"/>
        </w:sectPr>
      </w:pPr>
    </w:p>
    <w:p w:rsidR="001845BF" w:rsidRPr="007D0541" w:rsidRDefault="00496EE4" w:rsidP="001845BF">
      <w:pPr>
        <w:pBdr>
          <w:bottom w:val="single" w:sz="4" w:space="1" w:color="auto"/>
        </w:pBdr>
        <w:rPr>
          <w:b/>
          <w:color w:val="17365D" w:themeColor="text2" w:themeShade="BF"/>
          <w:sz w:val="28"/>
          <w:lang w:val="en-US"/>
        </w:rPr>
        <w:sectPr w:rsidR="001845BF" w:rsidRPr="007D0541" w:rsidSect="00CB2DA1">
          <w:footerReference w:type="first" r:id="rId20"/>
          <w:pgSz w:w="11906" w:h="16838" w:code="9"/>
          <w:pgMar w:top="1418" w:right="1418" w:bottom="1418" w:left="1418" w:header="709" w:footer="709" w:gutter="0"/>
          <w:paperSrc w:first="7" w:other="7"/>
          <w:pgNumType w:fmt="lowerRoman"/>
          <w:cols w:space="708"/>
          <w:titlePg/>
          <w:docGrid w:linePitch="360"/>
        </w:sectPr>
      </w:pPr>
      <w:r w:rsidRPr="007D0541">
        <w:rPr>
          <w:b/>
          <w:color w:val="17365D" w:themeColor="text2" w:themeShade="BF"/>
          <w:sz w:val="28"/>
          <w:lang w:val="en-US"/>
        </w:rPr>
        <w:t>Definitions</w:t>
      </w:r>
    </w:p>
    <w:p w:rsidR="001845BF" w:rsidRDefault="001845BF" w:rsidP="001845BF">
      <w:pPr>
        <w:pBdr>
          <w:bottom w:val="single" w:sz="4" w:space="1" w:color="auto"/>
        </w:pBdr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Table des figures</w:t>
      </w:r>
    </w:p>
    <w:p w:rsidR="001845BF" w:rsidRDefault="001845BF" w:rsidP="001845BF">
      <w:pPr>
        <w:rPr>
          <w:b/>
          <w:color w:val="17365D" w:themeColor="text2" w:themeShade="BF"/>
          <w:sz w:val="28"/>
        </w:rPr>
      </w:pPr>
    </w:p>
    <w:p w:rsidR="001845BF" w:rsidRDefault="001845BF" w:rsidP="001845BF">
      <w:pPr>
        <w:rPr>
          <w:b/>
          <w:color w:val="17365D" w:themeColor="text2" w:themeShade="BF"/>
          <w:sz w:val="28"/>
        </w:rPr>
      </w:pPr>
    </w:p>
    <w:p w:rsidR="00CB2DA1" w:rsidRDefault="001845BF" w:rsidP="001845BF">
      <w:pPr>
        <w:pBdr>
          <w:bottom w:val="single" w:sz="4" w:space="1" w:color="auto"/>
        </w:pBdr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Liste des tableaux</w:t>
      </w:r>
    </w:p>
    <w:p w:rsidR="00CB2DA1" w:rsidRDefault="00CB2DA1" w:rsidP="00CB2DA1">
      <w:pPr>
        <w:rPr>
          <w:sz w:val="28"/>
        </w:rPr>
      </w:pPr>
    </w:p>
    <w:p w:rsidR="001845BF" w:rsidRDefault="001845BF" w:rsidP="00CB2DA1">
      <w:pPr>
        <w:rPr>
          <w:sz w:val="28"/>
        </w:rPr>
      </w:pPr>
    </w:p>
    <w:p w:rsidR="00841819" w:rsidRDefault="00841819" w:rsidP="00CB2DA1">
      <w:pPr>
        <w:rPr>
          <w:sz w:val="28"/>
        </w:rPr>
        <w:sectPr w:rsidR="00841819" w:rsidSect="00841819">
          <w:footerReference w:type="first" r:id="rId21"/>
          <w:pgSz w:w="11906" w:h="16838" w:code="9"/>
          <w:pgMar w:top="1418" w:right="1418" w:bottom="1418" w:left="1418" w:header="709" w:footer="709" w:gutter="0"/>
          <w:paperSrc w:first="7" w:other="7"/>
          <w:pgNumType w:fmt="lowerRoman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428494"/>
        <w:docPartObj>
          <w:docPartGallery w:val="Table of Contents"/>
          <w:docPartUnique/>
        </w:docPartObj>
      </w:sdtPr>
      <w:sdtEndPr/>
      <w:sdtContent>
        <w:p w:rsidR="00CB2DA1" w:rsidRDefault="00CB2DA1" w:rsidP="0035769D">
          <w:pPr>
            <w:pStyle w:val="En-ttedetabledesmatires"/>
            <w:pBdr>
              <w:bottom w:val="single" w:sz="4" w:space="1" w:color="auto"/>
            </w:pBdr>
          </w:pPr>
          <w:r>
            <w:t>Table des matières</w:t>
          </w:r>
        </w:p>
        <w:p w:rsidR="00AB18F7" w:rsidRDefault="00E54C59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CB2DA1">
            <w:instrText xml:space="preserve"> TOC \o "1-3" \h \z \u </w:instrText>
          </w:r>
          <w:r>
            <w:fldChar w:fldCharType="separate"/>
          </w:r>
          <w:hyperlink w:anchor="_Toc407967177" w:history="1">
            <w:r w:rsidR="00AB18F7" w:rsidRPr="00967D3C">
              <w:rPr>
                <w:rStyle w:val="Lienhypertexte"/>
                <w:noProof/>
              </w:rPr>
              <w:t>Introduction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_Toc407967177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1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78" w:history="1">
            <w:r w:rsidR="00AB18F7" w:rsidRPr="00967D3C">
              <w:rPr>
                <w:rStyle w:val="Lienhypertexte"/>
                <w:noProof/>
              </w:rPr>
              <w:t>I- Les compléments alimentaires : statut et limite de l’étude.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_Toc407967178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2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79" w:history="1">
            <w:r w:rsidR="00AB18F7" w:rsidRPr="00967D3C">
              <w:rPr>
                <w:rStyle w:val="Lienhypertexte"/>
                <w:noProof/>
              </w:rPr>
              <w:t>I.1- Cadre juridique des compléments alimentaires.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_Toc407967179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2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80" w:history="1">
            <w:r w:rsidR="00AB18F7" w:rsidRPr="00967D3C">
              <w:rPr>
                <w:rStyle w:val="Lienhypertexte"/>
                <w:noProof/>
              </w:rPr>
              <w:t>I.2- Un marché juteux et attractif.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_Toc407967180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2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81" w:history="1">
            <w:r w:rsidR="00AB18F7" w:rsidRPr="00967D3C">
              <w:rPr>
                <w:rStyle w:val="Lienhypertexte"/>
                <w:noProof/>
              </w:rPr>
              <w:t>I.2.1- Le marché mondial.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_Toc407967181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2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82" w:history="1">
            <w:r w:rsidR="00AB18F7" w:rsidRPr="00967D3C">
              <w:rPr>
                <w:rStyle w:val="Lienhypertexte"/>
                <w:noProof/>
              </w:rPr>
              <w:t>I.2.2- Le marché Européen.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_Toc407967182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2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83" w:history="1">
            <w:r w:rsidR="00AB18F7" w:rsidRPr="00967D3C">
              <w:rPr>
                <w:rStyle w:val="Lienhypertexte"/>
                <w:noProof/>
              </w:rPr>
              <w:t>I.2.3- Le marché Français.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_Toc407967183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2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84" w:history="1">
            <w:r w:rsidR="00AB18F7" w:rsidRPr="00967D3C">
              <w:rPr>
                <w:rStyle w:val="Lienhypertexte"/>
                <w:noProof/>
              </w:rPr>
              <w:t>I.3- Les différents modes de distribution et de commercialisation à l’échelle nationale.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_Toc407967184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2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85" w:history="1">
            <w:r w:rsidR="00AB18F7" w:rsidRPr="00967D3C">
              <w:rPr>
                <w:rStyle w:val="Lienhypertexte"/>
                <w:noProof/>
              </w:rPr>
              <w:t>I-</w:t>
            </w:r>
            <w:r w:rsidR="00AB18F7">
              <w:rPr>
                <w:rFonts w:eastAsiaTheme="minorEastAsia"/>
                <w:noProof/>
                <w:lang w:eastAsia="fr-FR"/>
              </w:rPr>
              <w:tab/>
            </w:r>
            <w:r w:rsidR="00AB18F7" w:rsidRPr="00967D3C">
              <w:rPr>
                <w:rStyle w:val="Lienhypertexte"/>
                <w:noProof/>
              </w:rPr>
              <w:t>Les compléments alimentaires répondent-ils à un besoin ?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_Toc407967185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4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86" w:history="1">
            <w:r w:rsidR="00AB18F7" w:rsidRPr="00967D3C">
              <w:rPr>
                <w:rStyle w:val="Lienhypertexte"/>
                <w:noProof/>
              </w:rPr>
              <w:t>II.1- Portrait des consommateurs.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_Toc407967186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4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87" w:history="1">
            <w:r w:rsidR="00AB18F7" w:rsidRPr="00967D3C">
              <w:rPr>
                <w:rStyle w:val="Lienhypertexte"/>
                <w:noProof/>
              </w:rPr>
              <w:t>II.1.1- Caractéristiques sociodémographiques.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_Toc407967187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4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88" w:history="1">
            <w:r w:rsidR="00AB18F7" w:rsidRPr="00967D3C">
              <w:rPr>
                <w:rStyle w:val="Lienhypertexte"/>
                <w:noProof/>
              </w:rPr>
              <w:t>III.1.2- Mode de consommation et profil nutritionnel.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_Toc407967188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4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89" w:history="1">
            <w:r w:rsidR="00AB18F7" w:rsidRPr="00967D3C">
              <w:rPr>
                <w:rStyle w:val="Lienhypertexte"/>
                <w:noProof/>
              </w:rPr>
              <w:t>II.2- Des produits aux avantages et bénéfices certains …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_Toc407967189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5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90" w:history="1">
            <w:r w:rsidR="00AB18F7" w:rsidRPr="00967D3C">
              <w:rPr>
                <w:rStyle w:val="Lienhypertexte"/>
                <w:noProof/>
              </w:rPr>
              <w:t>II.2.1- Carences constatées au sein de la population Française.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_Toc407967190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5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91" w:history="1">
            <w:r w:rsidR="00AB18F7" w:rsidRPr="00967D3C">
              <w:rPr>
                <w:rStyle w:val="Lienhypertexte"/>
                <w:noProof/>
              </w:rPr>
              <w:t>II.2.2- 1</w:t>
            </w:r>
            <w:r w:rsidR="00AB18F7" w:rsidRPr="00967D3C">
              <w:rPr>
                <w:rStyle w:val="Lienhypertexte"/>
                <w:noProof/>
                <w:vertAlign w:val="superscript"/>
              </w:rPr>
              <w:t>ère</w:t>
            </w:r>
            <w:r w:rsidR="00AB18F7" w:rsidRPr="00967D3C">
              <w:rPr>
                <w:rStyle w:val="Lienhypertexte"/>
                <w:noProof/>
              </w:rPr>
              <w:t xml:space="preserve"> étude de cas : la complémentation en Folates.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_Toc407967191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5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92" w:history="1">
            <w:r w:rsidR="00AB18F7" w:rsidRPr="00967D3C">
              <w:rPr>
                <w:rStyle w:val="Lienhypertexte"/>
                <w:noProof/>
              </w:rPr>
              <w:t>II.2.3- 2</w:t>
            </w:r>
            <w:r w:rsidR="00AB18F7" w:rsidRPr="00967D3C">
              <w:rPr>
                <w:rStyle w:val="Lienhypertexte"/>
                <w:noProof/>
                <w:vertAlign w:val="superscript"/>
              </w:rPr>
              <w:t>nde</w:t>
            </w:r>
            <w:r w:rsidR="00AB18F7" w:rsidRPr="00967D3C">
              <w:rPr>
                <w:rStyle w:val="Lienhypertexte"/>
                <w:noProof/>
              </w:rPr>
              <w:t xml:space="preserve"> étude de cas : la complémentation en Magnésium.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_Toc407967192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5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93" w:history="1">
            <w:r w:rsidR="00AB18F7" w:rsidRPr="00967D3C">
              <w:rPr>
                <w:rStyle w:val="Lienhypertexte"/>
                <w:noProof/>
              </w:rPr>
              <w:t>II.2.4- Synthèse : les compléments alimentaires recommandés.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_Toc407967193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6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94" w:history="1">
            <w:r w:rsidR="00AB18F7" w:rsidRPr="00967D3C">
              <w:rPr>
                <w:rStyle w:val="Lienhypertexte"/>
                <w:noProof/>
              </w:rPr>
              <w:t>II.3- … Ternis par des dérives commerciales et des questions sociétales.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_Toc407967194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6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95" w:history="1">
            <w:r w:rsidR="00AB18F7" w:rsidRPr="00967D3C">
              <w:rPr>
                <w:rStyle w:val="Lienhypertexte"/>
                <w:noProof/>
              </w:rPr>
              <w:t>II.3.1- La vente de produits sur internet.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_Toc407967195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6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96" w:history="1">
            <w:r w:rsidR="00AB18F7" w:rsidRPr="00967D3C">
              <w:rPr>
                <w:rStyle w:val="Lienhypertexte"/>
                <w:noProof/>
              </w:rPr>
              <w:t>II.3.2- Société et surconsommation : le risque d’empoissonnement.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_Toc407967196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6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97" w:history="1">
            <w:r w:rsidR="00AB18F7" w:rsidRPr="00967D3C">
              <w:rPr>
                <w:rStyle w:val="Lienhypertexte"/>
                <w:noProof/>
              </w:rPr>
              <w:t>II.3.3- La dérive de l’usage des compléments dans le domaine sportif.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_Toc407967197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7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98" w:history="1">
            <w:r w:rsidR="00AB18F7" w:rsidRPr="00967D3C">
              <w:rPr>
                <w:rStyle w:val="Lienhypertexte"/>
                <w:noProof/>
              </w:rPr>
              <w:t>II-</w:t>
            </w:r>
            <w:r w:rsidR="00AB18F7">
              <w:rPr>
                <w:rFonts w:eastAsiaTheme="minorEastAsia"/>
                <w:noProof/>
                <w:lang w:eastAsia="fr-FR"/>
              </w:rPr>
              <w:tab/>
            </w:r>
            <w:r w:rsidR="00AB18F7" w:rsidRPr="00967D3C">
              <w:rPr>
                <w:rStyle w:val="Lienhypertexte"/>
                <w:noProof/>
              </w:rPr>
              <w:t>La règlementation : Défendre les industriels Français tout en protégeant les consommateurs.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_Toc407967198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9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199" w:history="1">
            <w:r w:rsidR="00AB18F7" w:rsidRPr="00967D3C">
              <w:rPr>
                <w:rStyle w:val="Lienhypertexte"/>
                <w:noProof/>
              </w:rPr>
              <w:t>III.1-  L’emboîtement de la règlementation Française dans la règlementation Européenne.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_Toc407967199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9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200" w:history="1">
            <w:r w:rsidR="00AB18F7" w:rsidRPr="00967D3C">
              <w:rPr>
                <w:rStyle w:val="Lienhypertexte"/>
                <w:noProof/>
              </w:rPr>
              <w:t>III.1-1- Synthèse des lois en vigueur à l’échelle de l’Europe.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_Toc407967200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9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3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201" w:history="1">
            <w:r w:rsidR="00AB18F7" w:rsidRPr="00967D3C">
              <w:rPr>
                <w:rStyle w:val="Lienhypertexte"/>
                <w:noProof/>
              </w:rPr>
              <w:t>III.1.2- Principe de reconnaissance communautaire et ses dérives.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_Toc407967201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9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202" w:history="1">
            <w:r w:rsidR="00AB18F7" w:rsidRPr="00967D3C">
              <w:rPr>
                <w:rStyle w:val="Lienhypertexte"/>
                <w:noProof/>
              </w:rPr>
              <w:t>III.1.2- L’implication du Syndicat Synadiet.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_Toc407967202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10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203" w:history="1">
            <w:r w:rsidR="00AB18F7" w:rsidRPr="00967D3C">
              <w:rPr>
                <w:rStyle w:val="Lienhypertexte"/>
                <w:noProof/>
              </w:rPr>
              <w:t>III.1.3- Perspectives d’évolution et axes d’amélioration.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_Toc407967203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10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204" w:history="1">
            <w:r w:rsidR="00AB18F7" w:rsidRPr="00967D3C">
              <w:rPr>
                <w:rStyle w:val="Lienhypertexte"/>
                <w:noProof/>
              </w:rPr>
              <w:t>Conclusion : Quelles perspectives d’avenir pour le marché des compléments alimentaires ?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_Toc407967204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11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AB18F7" w:rsidRDefault="005E4176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07967205" w:history="1">
            <w:r w:rsidR="00AB18F7" w:rsidRPr="00967D3C">
              <w:rPr>
                <w:rStyle w:val="Lienhypertexte"/>
                <w:noProof/>
              </w:rPr>
              <w:t>Références</w:t>
            </w:r>
            <w:r w:rsidR="00AB18F7">
              <w:rPr>
                <w:noProof/>
                <w:webHidden/>
              </w:rPr>
              <w:tab/>
            </w:r>
            <w:r w:rsidR="00AB18F7">
              <w:rPr>
                <w:noProof/>
                <w:webHidden/>
              </w:rPr>
              <w:fldChar w:fldCharType="begin"/>
            </w:r>
            <w:r w:rsidR="00AB18F7">
              <w:rPr>
                <w:noProof/>
                <w:webHidden/>
              </w:rPr>
              <w:instrText xml:space="preserve"> PAGEREF _Toc407967205 \h </w:instrText>
            </w:r>
            <w:r w:rsidR="00AB18F7">
              <w:rPr>
                <w:noProof/>
                <w:webHidden/>
              </w:rPr>
            </w:r>
            <w:r w:rsidR="00AB18F7">
              <w:rPr>
                <w:noProof/>
                <w:webHidden/>
              </w:rPr>
              <w:fldChar w:fldCharType="separate"/>
            </w:r>
            <w:r w:rsidR="00AB18F7">
              <w:rPr>
                <w:noProof/>
                <w:webHidden/>
              </w:rPr>
              <w:t>12</w:t>
            </w:r>
            <w:r w:rsidR="00AB18F7">
              <w:rPr>
                <w:noProof/>
                <w:webHidden/>
              </w:rPr>
              <w:fldChar w:fldCharType="end"/>
            </w:r>
          </w:hyperlink>
        </w:p>
        <w:p w:rsidR="00EC1497" w:rsidRDefault="00E54C59" w:rsidP="00EC1497">
          <w:r>
            <w:fldChar w:fldCharType="end"/>
          </w:r>
        </w:p>
      </w:sdtContent>
    </w:sdt>
    <w:bookmarkStart w:id="0" w:name="_Toc407967177" w:displacedByCustomXml="prev"/>
    <w:bookmarkEnd w:id="0"/>
    <w:p w:rsidR="000213F5" w:rsidRDefault="000213F5" w:rsidP="00EC1497">
      <w:pPr>
        <w:pBdr>
          <w:bottom w:val="single" w:sz="4" w:space="1" w:color="auto"/>
        </w:pBdr>
        <w:rPr>
          <w:b/>
          <w:color w:val="17365D" w:themeColor="text2" w:themeShade="BF"/>
          <w:sz w:val="28"/>
        </w:rPr>
        <w:sectPr w:rsidR="000213F5" w:rsidSect="00066418">
          <w:footerReference w:type="default" r:id="rId22"/>
          <w:footerReference w:type="first" r:id="rId23"/>
          <w:pgSz w:w="11906" w:h="16838" w:code="9"/>
          <w:pgMar w:top="1418" w:right="1418" w:bottom="1418" w:left="1418" w:header="709" w:footer="709" w:gutter="0"/>
          <w:paperSrc w:first="7" w:other="7"/>
          <w:pgNumType w:fmt="numberInDash" w:start="1"/>
          <w:cols w:space="708"/>
          <w:docGrid w:linePitch="360"/>
        </w:sectPr>
      </w:pPr>
    </w:p>
    <w:p w:rsidR="00EC1497" w:rsidRDefault="00EC1497" w:rsidP="00EC1497">
      <w:pPr>
        <w:pBdr>
          <w:bottom w:val="single" w:sz="4" w:space="1" w:color="auto"/>
        </w:pBdr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Introduction</w:t>
      </w:r>
    </w:p>
    <w:p w:rsidR="00D810B9" w:rsidRDefault="00D810B9" w:rsidP="001A423E">
      <w:pPr>
        <w:jc w:val="both"/>
      </w:pPr>
    </w:p>
    <w:p w:rsidR="00D810B9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Default="00EC02E8" w:rsidP="00D810B9">
      <w:r>
        <w:t>v</w:t>
      </w:r>
    </w:p>
    <w:p w:rsidR="00EC02E8" w:rsidRPr="00D810B9" w:rsidRDefault="00EC02E8" w:rsidP="00D810B9"/>
    <w:sectPr w:rsidR="00EC02E8" w:rsidRPr="00D810B9" w:rsidSect="005E4176">
      <w:footerReference w:type="default" r:id="rId24"/>
      <w:footerReference w:type="first" r:id="rId25"/>
      <w:pgSz w:w="11906" w:h="16838" w:code="9"/>
      <w:pgMar w:top="1418" w:right="1418" w:bottom="1418" w:left="1418" w:header="709" w:footer="709" w:gutter="0"/>
      <w:paperSrc w:first="7" w:other="7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8D" w:rsidRDefault="00D8268D" w:rsidP="00704308">
      <w:pPr>
        <w:spacing w:after="0" w:line="240" w:lineRule="auto"/>
      </w:pPr>
      <w:r>
        <w:separator/>
      </w:r>
    </w:p>
  </w:endnote>
  <w:endnote w:type="continuationSeparator" w:id="0">
    <w:p w:rsidR="00D8268D" w:rsidRDefault="00D8268D" w:rsidP="0070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76" w:rsidRDefault="005E4176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59"/>
      <w:docPartObj>
        <w:docPartGallery w:val="Page Numbers (Bottom of Page)"/>
        <w:docPartUnique/>
      </w:docPartObj>
    </w:sdtPr>
    <w:sdtEndPr/>
    <w:sdtContent>
      <w:p w:rsidR="00066418" w:rsidRDefault="005E417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418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066418" w:rsidRDefault="00066418">
    <w:pPr>
      <w:pStyle w:val="Pieddepag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314097"/>
      <w:docPartObj>
        <w:docPartGallery w:val="Page Numbers (Bottom of Page)"/>
        <w:docPartUnique/>
      </w:docPartObj>
    </w:sdtPr>
    <w:sdtContent>
      <w:p w:rsidR="005E4176" w:rsidRDefault="005E4176" w:rsidP="005E417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5E4176" w:rsidRPr="005E4176" w:rsidRDefault="005E4176" w:rsidP="005E4176">
    <w:pPr>
      <w:pStyle w:val="Pieddepage"/>
    </w:pPr>
    <w:bookmarkStart w:id="1" w:name="_GoBack"/>
    <w:bookmarkEnd w:id="1"/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51"/>
      <w:docPartObj>
        <w:docPartGallery w:val="Page Numbers (Bottom of Page)"/>
        <w:docPartUnique/>
      </w:docPartObj>
    </w:sdtPr>
    <w:sdtEndPr/>
    <w:sdtContent>
      <w:p w:rsidR="00066418" w:rsidRDefault="005E417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066418" w:rsidRDefault="000664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76" w:rsidRDefault="005E417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8495"/>
      <w:docPartObj>
        <w:docPartGallery w:val="Page Numbers (Bottom of Page)"/>
        <w:docPartUnique/>
      </w:docPartObj>
    </w:sdtPr>
    <w:sdtEndPr/>
    <w:sdtContent>
      <w:p w:rsidR="00AB18F7" w:rsidRDefault="005E417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8F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AB18F7" w:rsidRDefault="00AB18F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18" w:rsidRDefault="00066418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8499"/>
      <w:docPartObj>
        <w:docPartGallery w:val="Page Numbers (Bottom of Page)"/>
        <w:docPartUnique/>
      </w:docPartObj>
    </w:sdtPr>
    <w:sdtEndPr/>
    <w:sdtContent>
      <w:p w:rsidR="00AB18F7" w:rsidRDefault="005E417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8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8F7" w:rsidRDefault="00AB18F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8503"/>
      <w:docPartObj>
        <w:docPartGallery w:val="Page Numbers (Bottom of Page)"/>
        <w:docPartUnique/>
      </w:docPartObj>
    </w:sdtPr>
    <w:sdtEndPr/>
    <w:sdtContent>
      <w:p w:rsidR="00AB18F7" w:rsidRDefault="005E417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B18F7" w:rsidRDefault="00AB18F7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50"/>
      <w:docPartObj>
        <w:docPartGallery w:val="Page Numbers (Bottom of Page)"/>
        <w:docPartUnique/>
      </w:docPartObj>
    </w:sdtPr>
    <w:sdtEndPr/>
    <w:sdtContent>
      <w:p w:rsidR="00066418" w:rsidRDefault="005E417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66418" w:rsidRDefault="00066418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41"/>
      <w:docPartObj>
        <w:docPartGallery w:val="Page Numbers (Bottom of Page)"/>
        <w:docPartUnique/>
      </w:docPartObj>
    </w:sdtPr>
    <w:sdtEndPr/>
    <w:sdtContent>
      <w:p w:rsidR="00AB18F7" w:rsidRDefault="005E417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B18F7" w:rsidRDefault="00AB18F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18" w:rsidRDefault="000664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8D" w:rsidRDefault="00D8268D" w:rsidP="00704308">
      <w:pPr>
        <w:spacing w:after="0" w:line="240" w:lineRule="auto"/>
      </w:pPr>
      <w:r>
        <w:separator/>
      </w:r>
    </w:p>
  </w:footnote>
  <w:footnote w:type="continuationSeparator" w:id="0">
    <w:p w:rsidR="00D8268D" w:rsidRDefault="00D8268D" w:rsidP="0070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76" w:rsidRDefault="005E417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76" w:rsidRDefault="005E417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76" w:rsidRDefault="005E4176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18" w:rsidRDefault="000664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3E7"/>
    <w:multiLevelType w:val="hybridMultilevel"/>
    <w:tmpl w:val="E4A4180C"/>
    <w:lvl w:ilvl="0" w:tplc="EDCADE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0E0B"/>
    <w:multiLevelType w:val="hybridMultilevel"/>
    <w:tmpl w:val="AC780118"/>
    <w:lvl w:ilvl="0" w:tplc="E7148E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F16C8"/>
    <w:multiLevelType w:val="hybridMultilevel"/>
    <w:tmpl w:val="31249920"/>
    <w:lvl w:ilvl="0" w:tplc="FC68B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alignTablesRowByRow/>
    <w:doNotBreakConstrainedForcedTable/>
    <w:compatSetting w:name="compatibilityMode" w:uri="http://schemas.microsoft.com/office/word" w:val="12"/>
  </w:compat>
  <w:rsids>
    <w:rsidRoot w:val="009254AE"/>
    <w:rsid w:val="00003A4B"/>
    <w:rsid w:val="00015CB6"/>
    <w:rsid w:val="000213F5"/>
    <w:rsid w:val="00036F07"/>
    <w:rsid w:val="00050E9F"/>
    <w:rsid w:val="00055BC7"/>
    <w:rsid w:val="00066418"/>
    <w:rsid w:val="000C760B"/>
    <w:rsid w:val="000D79B9"/>
    <w:rsid w:val="000D7C16"/>
    <w:rsid w:val="000E2B8D"/>
    <w:rsid w:val="0011630C"/>
    <w:rsid w:val="00127A53"/>
    <w:rsid w:val="00140CB2"/>
    <w:rsid w:val="001537C7"/>
    <w:rsid w:val="00155719"/>
    <w:rsid w:val="001845BF"/>
    <w:rsid w:val="00185CD2"/>
    <w:rsid w:val="001903A5"/>
    <w:rsid w:val="001A423E"/>
    <w:rsid w:val="001A4A99"/>
    <w:rsid w:val="001D7313"/>
    <w:rsid w:val="001D7EC6"/>
    <w:rsid w:val="00235A08"/>
    <w:rsid w:val="00254A64"/>
    <w:rsid w:val="002604E5"/>
    <w:rsid w:val="0026205D"/>
    <w:rsid w:val="0026454F"/>
    <w:rsid w:val="00284F75"/>
    <w:rsid w:val="00291912"/>
    <w:rsid w:val="002C6B68"/>
    <w:rsid w:val="002E02DD"/>
    <w:rsid w:val="002F015B"/>
    <w:rsid w:val="003141C6"/>
    <w:rsid w:val="00335062"/>
    <w:rsid w:val="0035769D"/>
    <w:rsid w:val="00377BC0"/>
    <w:rsid w:val="003C3BC1"/>
    <w:rsid w:val="003F4CDE"/>
    <w:rsid w:val="0040362B"/>
    <w:rsid w:val="004479A1"/>
    <w:rsid w:val="004479A4"/>
    <w:rsid w:val="00496EE4"/>
    <w:rsid w:val="004A55C9"/>
    <w:rsid w:val="004C7549"/>
    <w:rsid w:val="0050347A"/>
    <w:rsid w:val="005242AD"/>
    <w:rsid w:val="00526E5B"/>
    <w:rsid w:val="00535108"/>
    <w:rsid w:val="00581CCB"/>
    <w:rsid w:val="00597B4D"/>
    <w:rsid w:val="005D5B8C"/>
    <w:rsid w:val="005E33D7"/>
    <w:rsid w:val="005E4176"/>
    <w:rsid w:val="005F51D5"/>
    <w:rsid w:val="0060149D"/>
    <w:rsid w:val="00617863"/>
    <w:rsid w:val="006273BB"/>
    <w:rsid w:val="00641C06"/>
    <w:rsid w:val="00641C19"/>
    <w:rsid w:val="006F698B"/>
    <w:rsid w:val="00704308"/>
    <w:rsid w:val="00706D9A"/>
    <w:rsid w:val="00715605"/>
    <w:rsid w:val="00755B79"/>
    <w:rsid w:val="007674DF"/>
    <w:rsid w:val="007832D5"/>
    <w:rsid w:val="00785209"/>
    <w:rsid w:val="007A1300"/>
    <w:rsid w:val="007D0541"/>
    <w:rsid w:val="007E1832"/>
    <w:rsid w:val="007F1095"/>
    <w:rsid w:val="00814CA0"/>
    <w:rsid w:val="0082436E"/>
    <w:rsid w:val="008372D3"/>
    <w:rsid w:val="00841819"/>
    <w:rsid w:val="008435B3"/>
    <w:rsid w:val="00871042"/>
    <w:rsid w:val="008712AC"/>
    <w:rsid w:val="008876BB"/>
    <w:rsid w:val="008E45C6"/>
    <w:rsid w:val="008F64BA"/>
    <w:rsid w:val="00922729"/>
    <w:rsid w:val="0092358D"/>
    <w:rsid w:val="009254AE"/>
    <w:rsid w:val="0093058A"/>
    <w:rsid w:val="009411DA"/>
    <w:rsid w:val="009555FF"/>
    <w:rsid w:val="009A2D94"/>
    <w:rsid w:val="009B113D"/>
    <w:rsid w:val="009D0B44"/>
    <w:rsid w:val="009D2592"/>
    <w:rsid w:val="009F11BE"/>
    <w:rsid w:val="00A01E33"/>
    <w:rsid w:val="00A036E7"/>
    <w:rsid w:val="00A12766"/>
    <w:rsid w:val="00A454E6"/>
    <w:rsid w:val="00A462A8"/>
    <w:rsid w:val="00A922AB"/>
    <w:rsid w:val="00A963AD"/>
    <w:rsid w:val="00AA3EA9"/>
    <w:rsid w:val="00AA40A7"/>
    <w:rsid w:val="00AB18F7"/>
    <w:rsid w:val="00AD0D61"/>
    <w:rsid w:val="00B234D1"/>
    <w:rsid w:val="00B33CE3"/>
    <w:rsid w:val="00B3460C"/>
    <w:rsid w:val="00B414D2"/>
    <w:rsid w:val="00B764AA"/>
    <w:rsid w:val="00BE23DE"/>
    <w:rsid w:val="00BF77FE"/>
    <w:rsid w:val="00C10A7A"/>
    <w:rsid w:val="00C228DE"/>
    <w:rsid w:val="00C267FB"/>
    <w:rsid w:val="00C36333"/>
    <w:rsid w:val="00C42376"/>
    <w:rsid w:val="00CA272C"/>
    <w:rsid w:val="00CB2DA1"/>
    <w:rsid w:val="00D24DA1"/>
    <w:rsid w:val="00D31CC5"/>
    <w:rsid w:val="00D32C6D"/>
    <w:rsid w:val="00D4216B"/>
    <w:rsid w:val="00D74B38"/>
    <w:rsid w:val="00D810B9"/>
    <w:rsid w:val="00D8268D"/>
    <w:rsid w:val="00DB0CD9"/>
    <w:rsid w:val="00DB6792"/>
    <w:rsid w:val="00DD0D65"/>
    <w:rsid w:val="00DF71C8"/>
    <w:rsid w:val="00E01285"/>
    <w:rsid w:val="00E10955"/>
    <w:rsid w:val="00E14580"/>
    <w:rsid w:val="00E54C59"/>
    <w:rsid w:val="00E83D1A"/>
    <w:rsid w:val="00E923C2"/>
    <w:rsid w:val="00EC02E8"/>
    <w:rsid w:val="00EC1497"/>
    <w:rsid w:val="00ED0CB0"/>
    <w:rsid w:val="00EE7DA5"/>
    <w:rsid w:val="00F46A9E"/>
    <w:rsid w:val="00F510BF"/>
    <w:rsid w:val="00F651B9"/>
    <w:rsid w:val="00F67899"/>
    <w:rsid w:val="00F816B9"/>
    <w:rsid w:val="00F96F0F"/>
    <w:rsid w:val="00F97AF8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D2"/>
  </w:style>
  <w:style w:type="paragraph" w:styleId="Titre1">
    <w:name w:val="heading 1"/>
    <w:basedOn w:val="Normal"/>
    <w:next w:val="Normal"/>
    <w:link w:val="Titre1Car"/>
    <w:uiPriority w:val="9"/>
    <w:qFormat/>
    <w:rsid w:val="00184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7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7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4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308"/>
  </w:style>
  <w:style w:type="paragraph" w:styleId="Pieddepage">
    <w:name w:val="footer"/>
    <w:basedOn w:val="Normal"/>
    <w:link w:val="PieddepageCar"/>
    <w:uiPriority w:val="99"/>
    <w:unhideWhenUsed/>
    <w:rsid w:val="0070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308"/>
  </w:style>
  <w:style w:type="paragraph" w:styleId="Paragraphedeliste">
    <w:name w:val="List Paragraph"/>
    <w:basedOn w:val="Normal"/>
    <w:uiPriority w:val="34"/>
    <w:qFormat/>
    <w:rsid w:val="0070430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84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2DA1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B2DA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CB2DA1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47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479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ibliographie">
    <w:name w:val="Bibliography"/>
    <w:basedOn w:val="Normal"/>
    <w:next w:val="Normal"/>
    <w:uiPriority w:val="37"/>
    <w:unhideWhenUsed/>
    <w:rsid w:val="00526E5B"/>
    <w:pPr>
      <w:tabs>
        <w:tab w:val="left" w:pos="384"/>
      </w:tabs>
      <w:spacing w:after="240" w:line="240" w:lineRule="auto"/>
      <w:ind w:left="384" w:hanging="384"/>
    </w:pPr>
  </w:style>
  <w:style w:type="paragraph" w:styleId="TM2">
    <w:name w:val="toc 2"/>
    <w:basedOn w:val="Normal"/>
    <w:next w:val="Normal"/>
    <w:autoRedefine/>
    <w:uiPriority w:val="39"/>
    <w:unhideWhenUsed/>
    <w:rsid w:val="002E02D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E02D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A7EB2-2961-40F1-BE2E-A88414FA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K93</dc:creator>
  <cp:lastModifiedBy>m@rina mathias</cp:lastModifiedBy>
  <cp:revision>2</cp:revision>
  <dcterms:created xsi:type="dcterms:W3CDTF">2015-01-02T14:00:00Z</dcterms:created>
  <dcterms:modified xsi:type="dcterms:W3CDTF">2015-01-02T14:00:00Z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zotero-version="4.0.23"&gt;&lt;session id="KZBaxN95"/&gt;&lt;style id="http://www.zotero.org/styles/french2"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value="false"/&gt;&lt;pref name="noteType" value="0"/&gt;&lt;/prefs&gt;&lt;/data&gt;</vt:lpwstr>
  </property>
</Properties>
</file>